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388"/>
        <w:gridCol w:w="4624"/>
      </w:tblGrid>
      <w:tr w:rsidR="00D83582" w14:paraId="0F80E52C" w14:textId="77777777" w:rsidTr="005857FD">
        <w:tc>
          <w:tcPr>
            <w:tcW w:w="20921" w:type="dxa"/>
            <w:gridSpan w:val="10"/>
          </w:tcPr>
          <w:p w14:paraId="6501C21E" w14:textId="77777777" w:rsidR="00D83582" w:rsidRPr="008855E6" w:rsidRDefault="00D83582" w:rsidP="005857FD">
            <w:pPr>
              <w:rPr>
                <w:b/>
                <w:bCs/>
              </w:rPr>
            </w:pPr>
            <w:r w:rsidRPr="008855E6">
              <w:rPr>
                <w:b/>
                <w:bCs/>
                <w:sz w:val="28"/>
                <w:szCs w:val="28"/>
              </w:rPr>
              <w:t>OFLOG Performance Indicators: Financial Resilience – Lincolnshire District Councils – Metric 1: Non-ringfenced reserves as percentage of net revenue expenditure</w:t>
            </w:r>
          </w:p>
        </w:tc>
      </w:tr>
      <w:tr w:rsidR="00D83582" w14:paraId="0171132D" w14:textId="77777777" w:rsidTr="005857FD">
        <w:tc>
          <w:tcPr>
            <w:tcW w:w="20921" w:type="dxa"/>
            <w:gridSpan w:val="10"/>
          </w:tcPr>
          <w:p w14:paraId="5EE48E84" w14:textId="3C3F53AA" w:rsidR="00D83582" w:rsidRPr="008855E6" w:rsidRDefault="00D83582" w:rsidP="005857FD">
            <w:pPr>
              <w:rPr>
                <w:b/>
                <w:bCs/>
                <w:sz w:val="24"/>
                <w:szCs w:val="24"/>
              </w:rPr>
            </w:pPr>
            <w:r w:rsidRPr="008855E6">
              <w:rPr>
                <w:b/>
                <w:bCs/>
                <w:sz w:val="24"/>
                <w:szCs w:val="24"/>
              </w:rPr>
              <w:t>All data is for the Financial Year 202</w:t>
            </w:r>
            <w:r>
              <w:rPr>
                <w:b/>
                <w:bCs/>
                <w:sz w:val="24"/>
                <w:szCs w:val="24"/>
              </w:rPr>
              <w:t>2</w:t>
            </w:r>
            <w:r w:rsidRPr="008855E6">
              <w:rPr>
                <w:b/>
                <w:bCs/>
                <w:sz w:val="24"/>
                <w:szCs w:val="24"/>
              </w:rPr>
              <w:t>/2</w:t>
            </w:r>
            <w:r>
              <w:rPr>
                <w:b/>
                <w:bCs/>
                <w:sz w:val="24"/>
                <w:szCs w:val="24"/>
              </w:rPr>
              <w:t>3</w:t>
            </w:r>
            <w:r w:rsidRPr="008855E6">
              <w:rPr>
                <w:b/>
                <w:bCs/>
                <w:sz w:val="24"/>
                <w:szCs w:val="24"/>
              </w:rPr>
              <w:t>.</w:t>
            </w:r>
            <w:r>
              <w:rPr>
                <w:b/>
                <w:bCs/>
                <w:sz w:val="24"/>
                <w:szCs w:val="24"/>
              </w:rPr>
              <w:t xml:space="preserve"> Data for the previous financial year 2021/22 are in brackets.</w:t>
            </w:r>
            <w:r w:rsidRPr="008855E6">
              <w:rPr>
                <w:b/>
                <w:bCs/>
                <w:sz w:val="24"/>
                <w:szCs w:val="24"/>
              </w:rPr>
              <w:t xml:space="preserve"> For finance data, national rankings and decile placings are calculated from the pool of English district council</w:t>
            </w:r>
            <w:r>
              <w:rPr>
                <w:b/>
                <w:bCs/>
                <w:sz w:val="24"/>
                <w:szCs w:val="24"/>
              </w:rPr>
              <w:t>s</w:t>
            </w:r>
            <w:r w:rsidRPr="008855E6">
              <w:rPr>
                <w:b/>
                <w:bCs/>
                <w:sz w:val="24"/>
                <w:szCs w:val="24"/>
              </w:rPr>
              <w:t>. Counties, unitaries, metropolitans and London borough councils are excluded. Authorities where data is lacking for a specific metric are also excluded. For this metric the total pool is 1</w:t>
            </w:r>
            <w:r>
              <w:rPr>
                <w:b/>
                <w:bCs/>
                <w:sz w:val="24"/>
                <w:szCs w:val="24"/>
              </w:rPr>
              <w:t>78</w:t>
            </w:r>
            <w:r w:rsidRPr="008855E6">
              <w:rPr>
                <w:b/>
                <w:bCs/>
                <w:sz w:val="24"/>
                <w:szCs w:val="24"/>
              </w:rPr>
              <w:t xml:space="preserve"> with 1</w:t>
            </w:r>
            <w:r w:rsidRPr="008855E6">
              <w:rPr>
                <w:b/>
                <w:bCs/>
                <w:sz w:val="24"/>
                <w:szCs w:val="24"/>
                <w:vertAlign w:val="superscript"/>
              </w:rPr>
              <w:t>st</w:t>
            </w:r>
            <w:r w:rsidRPr="008855E6">
              <w:rPr>
                <w:b/>
                <w:bCs/>
                <w:sz w:val="24"/>
                <w:szCs w:val="24"/>
              </w:rPr>
              <w:t xml:space="preserve"> being the best performer. </w:t>
            </w:r>
          </w:p>
          <w:p w14:paraId="013C4D60" w14:textId="77777777" w:rsidR="00D83582" w:rsidRPr="008855E6" w:rsidRDefault="00D83582" w:rsidP="005857FD">
            <w:pPr>
              <w:rPr>
                <w:b/>
                <w:bCs/>
                <w:sz w:val="24"/>
                <w:szCs w:val="24"/>
              </w:rPr>
            </w:pPr>
            <w:r w:rsidRPr="008855E6">
              <w:rPr>
                <w:b/>
                <w:bCs/>
                <w:sz w:val="24"/>
                <w:szCs w:val="24"/>
              </w:rPr>
              <w:t>Decile Key: Decile 9 – in the top 20% of English local authorities, Decile 2 – in the bottom 20% of English local authorities, Deciles 6+ in the top half of English local authorities for given indicator.</w:t>
            </w:r>
          </w:p>
        </w:tc>
      </w:tr>
      <w:tr w:rsidR="00D83582" w14:paraId="25CFC639" w14:textId="77777777" w:rsidTr="009C618E">
        <w:tc>
          <w:tcPr>
            <w:tcW w:w="1314" w:type="dxa"/>
            <w:tcBorders>
              <w:bottom w:val="single" w:sz="4" w:space="0" w:color="auto"/>
            </w:tcBorders>
          </w:tcPr>
          <w:p w14:paraId="69F95AC5" w14:textId="77777777" w:rsidR="00D83582" w:rsidRPr="008855E6" w:rsidRDefault="00D83582" w:rsidP="005857FD">
            <w:pPr>
              <w:rPr>
                <w:b/>
                <w:bCs/>
              </w:rPr>
            </w:pPr>
            <w:r w:rsidRPr="008855E6">
              <w:rPr>
                <w:b/>
                <w:bCs/>
              </w:rPr>
              <w:t>Lincolnshire Ranking</w:t>
            </w:r>
          </w:p>
        </w:tc>
        <w:tc>
          <w:tcPr>
            <w:tcW w:w="1682" w:type="dxa"/>
            <w:tcBorders>
              <w:bottom w:val="single" w:sz="4" w:space="0" w:color="auto"/>
            </w:tcBorders>
          </w:tcPr>
          <w:p w14:paraId="1E1C3077" w14:textId="77777777" w:rsidR="00D83582" w:rsidRPr="008855E6" w:rsidRDefault="00D83582" w:rsidP="005857FD">
            <w:pPr>
              <w:rPr>
                <w:b/>
                <w:bCs/>
              </w:rPr>
            </w:pPr>
            <w:r w:rsidRPr="008855E6">
              <w:rPr>
                <w:b/>
                <w:bCs/>
              </w:rPr>
              <w:t>Authority</w:t>
            </w:r>
          </w:p>
        </w:tc>
        <w:tc>
          <w:tcPr>
            <w:tcW w:w="1133" w:type="dxa"/>
            <w:tcBorders>
              <w:bottom w:val="single" w:sz="4" w:space="0" w:color="auto"/>
            </w:tcBorders>
          </w:tcPr>
          <w:p w14:paraId="3A7BF7E2" w14:textId="77777777" w:rsidR="00D83582" w:rsidRPr="008855E6" w:rsidRDefault="00D83582" w:rsidP="005857FD">
            <w:pPr>
              <w:rPr>
                <w:b/>
                <w:bCs/>
              </w:rPr>
            </w:pPr>
            <w:r w:rsidRPr="008855E6">
              <w:rPr>
                <w:b/>
                <w:bCs/>
              </w:rPr>
              <w:t>Value</w:t>
            </w:r>
          </w:p>
        </w:tc>
        <w:tc>
          <w:tcPr>
            <w:tcW w:w="2689" w:type="dxa"/>
            <w:tcBorders>
              <w:bottom w:val="single" w:sz="4" w:space="0" w:color="auto"/>
            </w:tcBorders>
          </w:tcPr>
          <w:p w14:paraId="40E16AD9" w14:textId="77777777" w:rsidR="00D83582" w:rsidRPr="008855E6" w:rsidRDefault="00D83582" w:rsidP="005857FD">
            <w:pPr>
              <w:rPr>
                <w:b/>
                <w:bCs/>
              </w:rPr>
            </w:pPr>
            <w:r w:rsidRPr="008855E6">
              <w:rPr>
                <w:b/>
                <w:bCs/>
              </w:rPr>
              <w:t>Net Revenue Expenditure (£ thousands)</w:t>
            </w:r>
          </w:p>
        </w:tc>
        <w:tc>
          <w:tcPr>
            <w:tcW w:w="2391" w:type="dxa"/>
            <w:tcBorders>
              <w:bottom w:val="single" w:sz="4" w:space="0" w:color="auto"/>
            </w:tcBorders>
          </w:tcPr>
          <w:p w14:paraId="22CCE731" w14:textId="77777777" w:rsidR="00D83582" w:rsidRPr="008855E6" w:rsidRDefault="00D83582" w:rsidP="005857FD">
            <w:pPr>
              <w:rPr>
                <w:b/>
                <w:bCs/>
              </w:rPr>
            </w:pPr>
            <w:r w:rsidRPr="008855E6">
              <w:rPr>
                <w:b/>
                <w:bCs/>
              </w:rPr>
              <w:t>Total un-ringfenced reserves (£ thousands)</w:t>
            </w:r>
          </w:p>
        </w:tc>
        <w:tc>
          <w:tcPr>
            <w:tcW w:w="1007" w:type="dxa"/>
            <w:tcBorders>
              <w:bottom w:val="single" w:sz="4" w:space="0" w:color="auto"/>
            </w:tcBorders>
          </w:tcPr>
          <w:p w14:paraId="29CE0CE8" w14:textId="77777777" w:rsidR="00D83582" w:rsidRPr="008855E6" w:rsidRDefault="00D83582" w:rsidP="005857FD">
            <w:pPr>
              <w:rPr>
                <w:b/>
                <w:bCs/>
              </w:rPr>
            </w:pPr>
            <w:r w:rsidRPr="008855E6">
              <w:rPr>
                <w:b/>
                <w:bCs/>
              </w:rPr>
              <w:t>Data Polarity</w:t>
            </w:r>
          </w:p>
        </w:tc>
        <w:tc>
          <w:tcPr>
            <w:tcW w:w="1559" w:type="dxa"/>
            <w:tcBorders>
              <w:bottom w:val="single" w:sz="4" w:space="0" w:color="auto"/>
            </w:tcBorders>
          </w:tcPr>
          <w:p w14:paraId="60D1EC68" w14:textId="77777777" w:rsidR="00D83582" w:rsidRPr="008855E6" w:rsidRDefault="00D83582" w:rsidP="005857FD">
            <w:pPr>
              <w:rPr>
                <w:b/>
                <w:bCs/>
              </w:rPr>
            </w:pPr>
            <w:r w:rsidRPr="008855E6">
              <w:rPr>
                <w:b/>
                <w:bCs/>
              </w:rPr>
              <w:t>National Decile Placing</w:t>
            </w:r>
          </w:p>
        </w:tc>
        <w:tc>
          <w:tcPr>
            <w:tcW w:w="1134" w:type="dxa"/>
            <w:tcBorders>
              <w:bottom w:val="single" w:sz="4" w:space="0" w:color="auto"/>
            </w:tcBorders>
          </w:tcPr>
          <w:p w14:paraId="70674099" w14:textId="77777777" w:rsidR="00D83582" w:rsidRPr="008855E6" w:rsidRDefault="00D83582" w:rsidP="005857FD">
            <w:pPr>
              <w:rPr>
                <w:b/>
                <w:bCs/>
              </w:rPr>
            </w:pPr>
            <w:r w:rsidRPr="008855E6">
              <w:rPr>
                <w:b/>
                <w:bCs/>
              </w:rPr>
              <w:t>National Ranking</w:t>
            </w:r>
          </w:p>
        </w:tc>
        <w:tc>
          <w:tcPr>
            <w:tcW w:w="3388" w:type="dxa"/>
            <w:tcBorders>
              <w:bottom w:val="single" w:sz="4" w:space="0" w:color="auto"/>
            </w:tcBorders>
          </w:tcPr>
          <w:p w14:paraId="44262039" w14:textId="77777777" w:rsidR="00D83582" w:rsidRPr="008855E6" w:rsidRDefault="00D83582" w:rsidP="005857FD">
            <w:pPr>
              <w:rPr>
                <w:b/>
                <w:bCs/>
              </w:rPr>
            </w:pPr>
            <w:r>
              <w:rPr>
                <w:b/>
                <w:bCs/>
              </w:rPr>
              <w:t>National &amp; Regional Context</w:t>
            </w:r>
          </w:p>
        </w:tc>
        <w:tc>
          <w:tcPr>
            <w:tcW w:w="4624" w:type="dxa"/>
            <w:tcBorders>
              <w:bottom w:val="single" w:sz="4" w:space="0" w:color="auto"/>
            </w:tcBorders>
          </w:tcPr>
          <w:p w14:paraId="05AF0141" w14:textId="77777777" w:rsidR="00D83582" w:rsidRPr="008855E6" w:rsidRDefault="00D83582" w:rsidP="005857FD">
            <w:pPr>
              <w:rPr>
                <w:b/>
                <w:bCs/>
              </w:rPr>
            </w:pPr>
            <w:r w:rsidRPr="008855E6">
              <w:rPr>
                <w:b/>
                <w:bCs/>
              </w:rPr>
              <w:t>Source</w:t>
            </w:r>
            <w:r>
              <w:rPr>
                <w:b/>
                <w:bCs/>
              </w:rPr>
              <w:t xml:space="preserve"> &amp; Explanatory Notes</w:t>
            </w:r>
          </w:p>
        </w:tc>
      </w:tr>
      <w:tr w:rsidR="009C618E" w14:paraId="55BE2475" w14:textId="77777777" w:rsidTr="009C618E">
        <w:tc>
          <w:tcPr>
            <w:tcW w:w="1314" w:type="dxa"/>
            <w:tcBorders>
              <w:top w:val="single" w:sz="4" w:space="0" w:color="auto"/>
              <w:bottom w:val="single" w:sz="4" w:space="0" w:color="auto"/>
              <w:right w:val="single" w:sz="4" w:space="0" w:color="auto"/>
            </w:tcBorders>
          </w:tcPr>
          <w:p w14:paraId="2EF4479C" w14:textId="2714205D" w:rsidR="00D83582" w:rsidRDefault="00D83582" w:rsidP="00D83582">
            <w:r>
              <w:t>1</w:t>
            </w:r>
            <w:r w:rsidR="009C618E">
              <w:t xml:space="preserve"> (3)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6C6BE969" w14:textId="71FC4ECC" w:rsidR="00D83582" w:rsidRPr="009C618E" w:rsidRDefault="00D83582" w:rsidP="00D83582">
            <w:pPr>
              <w:rPr>
                <w:rFonts w:cstheme="minorHAnsi"/>
              </w:rPr>
            </w:pPr>
            <w:r w:rsidRPr="009C618E">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2E654C3" w14:textId="7133A7D3" w:rsidR="00D83582" w:rsidRPr="009C618E" w:rsidRDefault="00D83582" w:rsidP="00D83582">
            <w:pPr>
              <w:rPr>
                <w:rFonts w:cstheme="minorHAnsi"/>
              </w:rPr>
            </w:pPr>
            <w:r w:rsidRPr="009C618E">
              <w:rPr>
                <w:rFonts w:cstheme="minorHAnsi"/>
                <w:color w:val="000000"/>
              </w:rPr>
              <w:t>166.51%</w:t>
            </w:r>
            <w:r w:rsidR="009C618E">
              <w:rPr>
                <w:rFonts w:cstheme="minorHAnsi"/>
                <w:color w:val="000000"/>
              </w:rPr>
              <w:t xml:space="preserve"> (167.1%)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94E7ACE" w14:textId="3D85DEE9" w:rsidR="00D83582" w:rsidRPr="009C618E" w:rsidRDefault="00D83582" w:rsidP="00D83582">
            <w:pPr>
              <w:rPr>
                <w:rFonts w:cstheme="minorHAnsi"/>
              </w:rPr>
            </w:pPr>
            <w:r w:rsidRPr="009C618E">
              <w:rPr>
                <w:rFonts w:cstheme="minorHAnsi"/>
                <w:color w:val="000000"/>
              </w:rPr>
              <w:t>£14,122</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32CA12FF" w14:textId="0BAA7952" w:rsidR="00D83582" w:rsidRPr="009C618E" w:rsidRDefault="00D83582" w:rsidP="00D83582">
            <w:pPr>
              <w:rPr>
                <w:rFonts w:cstheme="minorHAnsi"/>
              </w:rPr>
            </w:pPr>
            <w:r w:rsidRPr="009C618E">
              <w:rPr>
                <w:rFonts w:cstheme="minorHAnsi"/>
                <w:color w:val="000000"/>
              </w:rPr>
              <w:t>£23,514</w:t>
            </w:r>
          </w:p>
        </w:tc>
        <w:tc>
          <w:tcPr>
            <w:tcW w:w="1007" w:type="dxa"/>
            <w:vMerge w:val="restart"/>
            <w:tcBorders>
              <w:top w:val="single" w:sz="4" w:space="0" w:color="auto"/>
              <w:left w:val="single" w:sz="4" w:space="0" w:color="auto"/>
              <w:bottom w:val="single" w:sz="4" w:space="0" w:color="auto"/>
              <w:right w:val="single" w:sz="4" w:space="0" w:color="auto"/>
            </w:tcBorders>
          </w:tcPr>
          <w:p w14:paraId="0D47892C" w14:textId="77777777" w:rsidR="00D83582" w:rsidRDefault="00D83582" w:rsidP="00D83582">
            <w:r>
              <w:t>Highest to Lowest</w:t>
            </w:r>
          </w:p>
        </w:tc>
        <w:tc>
          <w:tcPr>
            <w:tcW w:w="1559" w:type="dxa"/>
            <w:tcBorders>
              <w:top w:val="single" w:sz="4" w:space="0" w:color="auto"/>
              <w:left w:val="single" w:sz="4" w:space="0" w:color="auto"/>
              <w:bottom w:val="single" w:sz="4" w:space="0" w:color="auto"/>
              <w:right w:val="single" w:sz="4" w:space="0" w:color="auto"/>
            </w:tcBorders>
          </w:tcPr>
          <w:p w14:paraId="0C6609DF" w14:textId="7D5CCA52" w:rsidR="00D83582" w:rsidRDefault="009C618E" w:rsidP="00D83582">
            <w:r>
              <w:t>7 (7)</w:t>
            </w:r>
          </w:p>
        </w:tc>
        <w:tc>
          <w:tcPr>
            <w:tcW w:w="1134" w:type="dxa"/>
            <w:tcBorders>
              <w:top w:val="single" w:sz="4" w:space="0" w:color="auto"/>
              <w:left w:val="single" w:sz="4" w:space="0" w:color="auto"/>
              <w:bottom w:val="single" w:sz="4" w:space="0" w:color="auto"/>
              <w:right w:val="nil"/>
            </w:tcBorders>
            <w:shd w:val="clear" w:color="auto" w:fill="auto"/>
            <w:vAlign w:val="bottom"/>
          </w:tcPr>
          <w:p w14:paraId="41955BEC" w14:textId="395613E4" w:rsidR="00D83582" w:rsidRDefault="00D83582" w:rsidP="00D83582">
            <w:r>
              <w:rPr>
                <w:rFonts w:ascii="Aptos Narrow" w:hAnsi="Aptos Narrow"/>
                <w:color w:val="000000"/>
              </w:rPr>
              <w:t>65</w:t>
            </w:r>
          </w:p>
        </w:tc>
        <w:tc>
          <w:tcPr>
            <w:tcW w:w="3388" w:type="dxa"/>
            <w:vMerge w:val="restart"/>
            <w:tcBorders>
              <w:top w:val="single" w:sz="4" w:space="0" w:color="auto"/>
            </w:tcBorders>
          </w:tcPr>
          <w:p w14:paraId="19F43126" w14:textId="19F42190" w:rsidR="00D83582" w:rsidRDefault="00D83582" w:rsidP="00D83582">
            <w:r w:rsidRPr="00DC4939">
              <w:t>The median for district councils in England was 1</w:t>
            </w:r>
            <w:r>
              <w:t>29</w:t>
            </w:r>
            <w:r w:rsidR="009C618E">
              <w:t>.26</w:t>
            </w:r>
            <w:r w:rsidRPr="00DC4939">
              <w:t xml:space="preserve">%. The median for authorities in the East Midlands was </w:t>
            </w:r>
            <w:r w:rsidR="002172D0">
              <w:t>95.66</w:t>
            </w:r>
            <w:r w:rsidRPr="00DC4939">
              <w:t>%.</w:t>
            </w:r>
            <w:r>
              <w:t xml:space="preserve"> </w:t>
            </w:r>
            <w:r w:rsidRPr="00DC4939">
              <w:t xml:space="preserve">The median for districts in Lincolnshire was </w:t>
            </w:r>
            <w:r w:rsidR="002172D0">
              <w:t>97.64</w:t>
            </w:r>
            <w:r w:rsidRPr="00DC4939">
              <w:t>%.</w:t>
            </w:r>
            <w:r w:rsidR="009C618E">
              <w:t xml:space="preserve"> The median for SKDC’s CIPFA Peers was 1</w:t>
            </w:r>
            <w:r w:rsidR="002172D0">
              <w:t>10.95</w:t>
            </w:r>
            <w:r w:rsidR="009C618E">
              <w:t>%.</w:t>
            </w:r>
          </w:p>
        </w:tc>
        <w:tc>
          <w:tcPr>
            <w:tcW w:w="4624" w:type="dxa"/>
            <w:vMerge w:val="restart"/>
            <w:tcBorders>
              <w:top w:val="single" w:sz="4" w:space="0" w:color="auto"/>
            </w:tcBorders>
          </w:tcPr>
          <w:p w14:paraId="480E2C10" w14:textId="77777777" w:rsidR="00D83582" w:rsidRDefault="00D83582" w:rsidP="00D83582">
            <w:pPr>
              <w:rPr>
                <w:i/>
                <w:iCs/>
              </w:rPr>
            </w:pPr>
            <w:r w:rsidRPr="00A543B4">
              <w:rPr>
                <w:i/>
                <w:iCs/>
              </w:rPr>
              <w:t xml:space="preserve">DLUHC: Local authority general fund earmarked and unallocated reserve levels, 2017-18 to </w:t>
            </w:r>
            <w:proofErr w:type="gramStart"/>
            <w:r w:rsidRPr="00A543B4">
              <w:rPr>
                <w:i/>
                <w:iCs/>
              </w:rPr>
              <w:t>2021-22</w:t>
            </w:r>
            <w:proofErr w:type="gramEnd"/>
            <w:r w:rsidRPr="00A543B4">
              <w:rPr>
                <w:i/>
                <w:iCs/>
              </w:rPr>
              <w:t xml:space="preserve"> </w:t>
            </w:r>
          </w:p>
          <w:p w14:paraId="0EFCDA7C" w14:textId="77777777" w:rsidR="00D83582" w:rsidRDefault="00D83582" w:rsidP="00D83582">
            <w:pPr>
              <w:rPr>
                <w:i/>
                <w:iCs/>
              </w:rPr>
            </w:pPr>
            <w:r w:rsidRPr="004318B5">
              <w:rPr>
                <w:i/>
                <w:iCs/>
              </w:rPr>
              <w:t>Net Revenue Expenditure</w:t>
            </w:r>
            <w:r>
              <w:rPr>
                <w:i/>
                <w:iCs/>
              </w:rPr>
              <w:t xml:space="preserve"> – column L</w:t>
            </w:r>
          </w:p>
          <w:p w14:paraId="1556762E" w14:textId="77777777" w:rsidR="00D83582" w:rsidRDefault="00D83582" w:rsidP="00D83582">
            <w:pPr>
              <w:rPr>
                <w:i/>
                <w:iCs/>
              </w:rPr>
            </w:pPr>
            <w:r>
              <w:rPr>
                <w:i/>
                <w:iCs/>
              </w:rPr>
              <w:t>Total un-ringfenced reserves – column AN</w:t>
            </w:r>
          </w:p>
          <w:p w14:paraId="7B35B06C" w14:textId="77777777" w:rsidR="00D83582" w:rsidRDefault="00D83582" w:rsidP="00D83582">
            <w:r w:rsidRPr="002F2DAC">
              <w:t>The HRA is excluded from Revenue Expenditure.</w:t>
            </w:r>
          </w:p>
        </w:tc>
      </w:tr>
      <w:tr w:rsidR="009C618E" w14:paraId="5D7AB4B6" w14:textId="77777777" w:rsidTr="009C618E">
        <w:tc>
          <w:tcPr>
            <w:tcW w:w="1314" w:type="dxa"/>
            <w:tcBorders>
              <w:top w:val="single" w:sz="4" w:space="0" w:color="auto"/>
              <w:bottom w:val="single" w:sz="4" w:space="0" w:color="auto"/>
              <w:right w:val="single" w:sz="4" w:space="0" w:color="auto"/>
            </w:tcBorders>
          </w:tcPr>
          <w:p w14:paraId="7A8974D7" w14:textId="08AAC9C0" w:rsidR="00D83582" w:rsidRDefault="00D83582" w:rsidP="00D83582">
            <w:r>
              <w:t>2</w:t>
            </w:r>
            <w:r w:rsidR="009C618E">
              <w:t xml:space="preserve"> (1)</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0654623B" w14:textId="7767D5CD" w:rsidR="00D83582" w:rsidRPr="009C618E" w:rsidRDefault="00D83582" w:rsidP="00D83582">
            <w:pPr>
              <w:rPr>
                <w:rFonts w:cstheme="minorHAnsi"/>
              </w:rPr>
            </w:pPr>
            <w:r w:rsidRPr="009C618E">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E492A4D" w14:textId="0CDF6F6F" w:rsidR="00D83582" w:rsidRPr="009C618E" w:rsidRDefault="00D83582" w:rsidP="00D83582">
            <w:pPr>
              <w:rPr>
                <w:rFonts w:cstheme="minorHAnsi"/>
              </w:rPr>
            </w:pPr>
            <w:r w:rsidRPr="009C618E">
              <w:rPr>
                <w:rFonts w:cstheme="minorHAnsi"/>
                <w:color w:val="000000"/>
              </w:rPr>
              <w:t>149.83%</w:t>
            </w:r>
            <w:r w:rsidR="009C618E">
              <w:rPr>
                <w:rFonts w:cstheme="minorHAnsi"/>
                <w:color w:val="000000"/>
              </w:rPr>
              <w:t xml:space="preserve"> (322.2%)</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7E8C702" w14:textId="5B253598" w:rsidR="00D83582" w:rsidRPr="009C618E" w:rsidRDefault="00D83582" w:rsidP="00D83582">
            <w:pPr>
              <w:rPr>
                <w:rFonts w:cstheme="minorHAnsi"/>
              </w:rPr>
            </w:pPr>
            <w:r w:rsidRPr="009C618E">
              <w:rPr>
                <w:rFonts w:cstheme="minorHAnsi"/>
                <w:color w:val="000000"/>
              </w:rPr>
              <w:t>£10,280</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8275519" w14:textId="25FCE2D5" w:rsidR="00D83582" w:rsidRPr="009C618E" w:rsidRDefault="00D83582" w:rsidP="00D83582">
            <w:pPr>
              <w:rPr>
                <w:rFonts w:cstheme="minorHAnsi"/>
              </w:rPr>
            </w:pPr>
            <w:r w:rsidRPr="009C618E">
              <w:rPr>
                <w:rFonts w:cstheme="minorHAnsi"/>
                <w:color w:val="000000"/>
              </w:rPr>
              <w:t>£15,403</w:t>
            </w:r>
          </w:p>
        </w:tc>
        <w:tc>
          <w:tcPr>
            <w:tcW w:w="1007" w:type="dxa"/>
            <w:vMerge/>
            <w:tcBorders>
              <w:top w:val="single" w:sz="4" w:space="0" w:color="auto"/>
              <w:left w:val="single" w:sz="4" w:space="0" w:color="auto"/>
              <w:bottom w:val="single" w:sz="4" w:space="0" w:color="auto"/>
              <w:right w:val="single" w:sz="4" w:space="0" w:color="auto"/>
            </w:tcBorders>
          </w:tcPr>
          <w:p w14:paraId="67F84A7D"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3B4E9645" w14:textId="5ACC20BB" w:rsidR="00D83582" w:rsidRDefault="009C618E" w:rsidP="00D83582">
            <w:r>
              <w:t>6 (9)</w:t>
            </w:r>
          </w:p>
        </w:tc>
        <w:tc>
          <w:tcPr>
            <w:tcW w:w="1134" w:type="dxa"/>
            <w:tcBorders>
              <w:top w:val="single" w:sz="4" w:space="0" w:color="auto"/>
              <w:left w:val="single" w:sz="4" w:space="0" w:color="auto"/>
              <w:bottom w:val="single" w:sz="4" w:space="0" w:color="auto"/>
              <w:right w:val="nil"/>
            </w:tcBorders>
            <w:shd w:val="clear" w:color="auto" w:fill="auto"/>
            <w:vAlign w:val="bottom"/>
          </w:tcPr>
          <w:p w14:paraId="50E7AE61" w14:textId="3645E0F4" w:rsidR="00D83582" w:rsidRDefault="00D83582" w:rsidP="00D83582">
            <w:r>
              <w:rPr>
                <w:rFonts w:ascii="Aptos Narrow" w:hAnsi="Aptos Narrow"/>
                <w:color w:val="000000"/>
              </w:rPr>
              <w:t>76</w:t>
            </w:r>
          </w:p>
        </w:tc>
        <w:tc>
          <w:tcPr>
            <w:tcW w:w="3388" w:type="dxa"/>
            <w:vMerge/>
          </w:tcPr>
          <w:p w14:paraId="6319ACDB" w14:textId="77777777" w:rsidR="00D83582" w:rsidRDefault="00D83582" w:rsidP="00D83582"/>
        </w:tc>
        <w:tc>
          <w:tcPr>
            <w:tcW w:w="4624" w:type="dxa"/>
            <w:vMerge/>
          </w:tcPr>
          <w:p w14:paraId="6B0943CB" w14:textId="77777777" w:rsidR="00D83582" w:rsidRDefault="00D83582" w:rsidP="00D83582"/>
        </w:tc>
      </w:tr>
      <w:tr w:rsidR="009C618E" w14:paraId="0C395833" w14:textId="77777777" w:rsidTr="009C618E">
        <w:tc>
          <w:tcPr>
            <w:tcW w:w="1314" w:type="dxa"/>
            <w:tcBorders>
              <w:top w:val="single" w:sz="4" w:space="0" w:color="auto"/>
              <w:bottom w:val="single" w:sz="4" w:space="0" w:color="auto"/>
              <w:right w:val="single" w:sz="4" w:space="0" w:color="auto"/>
            </w:tcBorders>
          </w:tcPr>
          <w:p w14:paraId="47738E99" w14:textId="562E8A3D" w:rsidR="00D83582" w:rsidRDefault="00D83582" w:rsidP="00D83582">
            <w:r>
              <w:t>3</w:t>
            </w:r>
            <w:r w:rsidR="009C618E">
              <w:t xml:space="preserve"> (4)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7324D50" w14:textId="658216AD" w:rsidR="00D83582" w:rsidRPr="009C618E" w:rsidRDefault="00D83582" w:rsidP="00D83582">
            <w:pPr>
              <w:rPr>
                <w:rFonts w:cstheme="minorHAnsi"/>
              </w:rPr>
            </w:pPr>
            <w:r w:rsidRPr="009C618E">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FCCC5B7" w14:textId="216987E0" w:rsidR="00D83582" w:rsidRPr="009C618E" w:rsidRDefault="00D83582" w:rsidP="00D83582">
            <w:pPr>
              <w:rPr>
                <w:rFonts w:cstheme="minorHAnsi"/>
              </w:rPr>
            </w:pPr>
            <w:r w:rsidRPr="009C618E">
              <w:rPr>
                <w:rFonts w:cstheme="minorHAnsi"/>
                <w:color w:val="000000"/>
              </w:rPr>
              <w:t>110.95%</w:t>
            </w:r>
            <w:r w:rsidR="009C618E">
              <w:rPr>
                <w:rFonts w:cstheme="minorHAnsi"/>
                <w:color w:val="000000"/>
              </w:rPr>
              <w:t xml:space="preserve"> (153.1%)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DC9B42E" w14:textId="4A207B40" w:rsidR="00D83582" w:rsidRPr="009C618E" w:rsidRDefault="00D83582" w:rsidP="00D83582">
            <w:pPr>
              <w:rPr>
                <w:rFonts w:cstheme="minorHAnsi"/>
              </w:rPr>
            </w:pPr>
            <w:r w:rsidRPr="009C618E">
              <w:rPr>
                <w:rFonts w:cstheme="minorHAnsi"/>
                <w:color w:val="000000"/>
              </w:rPr>
              <w:t>£16,951</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E12131E" w14:textId="7196C703" w:rsidR="00D83582" w:rsidRPr="009C618E" w:rsidRDefault="00D83582" w:rsidP="00D83582">
            <w:pPr>
              <w:rPr>
                <w:rFonts w:cstheme="minorHAnsi"/>
              </w:rPr>
            </w:pPr>
            <w:r w:rsidRPr="009C618E">
              <w:rPr>
                <w:rFonts w:cstheme="minorHAnsi"/>
                <w:color w:val="000000"/>
              </w:rPr>
              <w:t>£18,807</w:t>
            </w:r>
          </w:p>
        </w:tc>
        <w:tc>
          <w:tcPr>
            <w:tcW w:w="1007" w:type="dxa"/>
            <w:vMerge/>
            <w:tcBorders>
              <w:top w:val="single" w:sz="4" w:space="0" w:color="auto"/>
              <w:left w:val="single" w:sz="4" w:space="0" w:color="auto"/>
              <w:bottom w:val="single" w:sz="4" w:space="0" w:color="auto"/>
              <w:right w:val="single" w:sz="4" w:space="0" w:color="auto"/>
            </w:tcBorders>
          </w:tcPr>
          <w:p w14:paraId="66742789"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111D911C" w14:textId="75C60488" w:rsidR="00D83582" w:rsidRDefault="009C618E" w:rsidP="00D83582">
            <w:r>
              <w:t>4 (6)</w:t>
            </w:r>
          </w:p>
        </w:tc>
        <w:tc>
          <w:tcPr>
            <w:tcW w:w="1134" w:type="dxa"/>
            <w:tcBorders>
              <w:top w:val="single" w:sz="4" w:space="0" w:color="auto"/>
              <w:left w:val="single" w:sz="4" w:space="0" w:color="auto"/>
              <w:bottom w:val="single" w:sz="4" w:space="0" w:color="auto"/>
              <w:right w:val="nil"/>
            </w:tcBorders>
            <w:shd w:val="clear" w:color="auto" w:fill="auto"/>
            <w:vAlign w:val="bottom"/>
          </w:tcPr>
          <w:p w14:paraId="36548696" w14:textId="31D3C34A" w:rsidR="00D83582" w:rsidRDefault="00D83582" w:rsidP="00D83582">
            <w:r>
              <w:rPr>
                <w:rFonts w:ascii="Aptos Narrow" w:hAnsi="Aptos Narrow"/>
                <w:color w:val="000000"/>
              </w:rPr>
              <w:t>110</w:t>
            </w:r>
          </w:p>
        </w:tc>
        <w:tc>
          <w:tcPr>
            <w:tcW w:w="3388" w:type="dxa"/>
            <w:vMerge/>
          </w:tcPr>
          <w:p w14:paraId="63BBF0CC" w14:textId="77777777" w:rsidR="00D83582" w:rsidRDefault="00D83582" w:rsidP="00D83582"/>
        </w:tc>
        <w:tc>
          <w:tcPr>
            <w:tcW w:w="4624" w:type="dxa"/>
            <w:vMerge/>
          </w:tcPr>
          <w:p w14:paraId="3C11A6D0" w14:textId="77777777" w:rsidR="00D83582" w:rsidRDefault="00D83582" w:rsidP="00D83582"/>
        </w:tc>
      </w:tr>
      <w:tr w:rsidR="009C618E" w14:paraId="323286D4" w14:textId="77777777" w:rsidTr="009C618E">
        <w:tc>
          <w:tcPr>
            <w:tcW w:w="1314" w:type="dxa"/>
            <w:tcBorders>
              <w:top w:val="single" w:sz="4" w:space="0" w:color="auto"/>
              <w:bottom w:val="single" w:sz="4" w:space="0" w:color="auto"/>
              <w:right w:val="single" w:sz="4" w:space="0" w:color="auto"/>
            </w:tcBorders>
          </w:tcPr>
          <w:p w14:paraId="0EF95FD1" w14:textId="4EB984E9" w:rsidR="00D83582" w:rsidRDefault="00D83582" w:rsidP="00D83582">
            <w:r>
              <w:t>4</w:t>
            </w:r>
            <w:r w:rsidR="009C618E">
              <w:t xml:space="preserve"> (5)</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0FDD8CC0" w14:textId="4AACD8C4" w:rsidR="00D83582" w:rsidRPr="009C618E" w:rsidRDefault="00D83582" w:rsidP="00D83582">
            <w:pPr>
              <w:rPr>
                <w:rFonts w:cstheme="minorHAnsi"/>
              </w:rPr>
            </w:pPr>
            <w:r w:rsidRPr="009C618E">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16D6197" w14:textId="14156EB9" w:rsidR="00D83582" w:rsidRPr="009C618E" w:rsidRDefault="00D83582" w:rsidP="00D83582">
            <w:pPr>
              <w:rPr>
                <w:rFonts w:cstheme="minorHAnsi"/>
              </w:rPr>
            </w:pPr>
            <w:r w:rsidRPr="009C618E">
              <w:rPr>
                <w:rFonts w:cstheme="minorHAnsi"/>
                <w:color w:val="000000"/>
              </w:rPr>
              <w:t>97.64%</w:t>
            </w:r>
            <w:r w:rsidR="009C618E">
              <w:rPr>
                <w:rFonts w:cstheme="minorHAnsi"/>
                <w:color w:val="000000"/>
              </w:rPr>
              <w:t xml:space="preserve"> (103.4%)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C45AE68" w14:textId="4D4AD028" w:rsidR="00D83582" w:rsidRPr="009C618E" w:rsidRDefault="00D83582" w:rsidP="00D83582">
            <w:pPr>
              <w:rPr>
                <w:rFonts w:cstheme="minorHAnsi"/>
              </w:rPr>
            </w:pPr>
            <w:r w:rsidRPr="009C618E">
              <w:rPr>
                <w:rFonts w:cstheme="minorHAnsi"/>
                <w:color w:val="000000"/>
              </w:rPr>
              <w:t>£27,251</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38408960" w14:textId="405DC2CA" w:rsidR="00D83582" w:rsidRPr="009C618E" w:rsidRDefault="00D83582" w:rsidP="00D83582">
            <w:pPr>
              <w:rPr>
                <w:rFonts w:cstheme="minorHAnsi"/>
              </w:rPr>
            </w:pPr>
            <w:r w:rsidRPr="009C618E">
              <w:rPr>
                <w:rFonts w:cstheme="minorHAnsi"/>
                <w:color w:val="000000"/>
              </w:rPr>
              <w:t>£26,609</w:t>
            </w:r>
          </w:p>
        </w:tc>
        <w:tc>
          <w:tcPr>
            <w:tcW w:w="1007" w:type="dxa"/>
            <w:vMerge/>
            <w:tcBorders>
              <w:top w:val="single" w:sz="4" w:space="0" w:color="auto"/>
              <w:left w:val="single" w:sz="4" w:space="0" w:color="auto"/>
              <w:bottom w:val="single" w:sz="4" w:space="0" w:color="auto"/>
              <w:right w:val="single" w:sz="4" w:space="0" w:color="auto"/>
            </w:tcBorders>
          </w:tcPr>
          <w:p w14:paraId="1EE2E731"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01CC08F0" w14:textId="136F841F" w:rsidR="00D83582" w:rsidRDefault="009C618E" w:rsidP="00D83582">
            <w:r>
              <w:t>4 (3)</w:t>
            </w:r>
          </w:p>
        </w:tc>
        <w:tc>
          <w:tcPr>
            <w:tcW w:w="1134" w:type="dxa"/>
            <w:tcBorders>
              <w:top w:val="single" w:sz="4" w:space="0" w:color="auto"/>
              <w:left w:val="single" w:sz="4" w:space="0" w:color="auto"/>
              <w:bottom w:val="single" w:sz="4" w:space="0" w:color="auto"/>
              <w:right w:val="nil"/>
            </w:tcBorders>
            <w:shd w:val="clear" w:color="auto" w:fill="auto"/>
            <w:vAlign w:val="bottom"/>
          </w:tcPr>
          <w:p w14:paraId="0B7F9344" w14:textId="23F7AEC6" w:rsidR="00D83582" w:rsidRDefault="00D83582" w:rsidP="00D83582">
            <w:r>
              <w:rPr>
                <w:rFonts w:ascii="Aptos Narrow" w:hAnsi="Aptos Narrow"/>
                <w:color w:val="000000"/>
              </w:rPr>
              <w:t>122</w:t>
            </w:r>
          </w:p>
        </w:tc>
        <w:tc>
          <w:tcPr>
            <w:tcW w:w="3388" w:type="dxa"/>
            <w:vMerge/>
          </w:tcPr>
          <w:p w14:paraId="38415466" w14:textId="77777777" w:rsidR="00D83582" w:rsidRDefault="00D83582" w:rsidP="00D83582"/>
        </w:tc>
        <w:tc>
          <w:tcPr>
            <w:tcW w:w="4624" w:type="dxa"/>
            <w:vMerge/>
          </w:tcPr>
          <w:p w14:paraId="3D4F9C78" w14:textId="77777777" w:rsidR="00D83582" w:rsidRDefault="00D83582" w:rsidP="00D83582"/>
        </w:tc>
      </w:tr>
      <w:tr w:rsidR="009C618E" w14:paraId="39B7DBCF" w14:textId="77777777" w:rsidTr="009C618E">
        <w:tc>
          <w:tcPr>
            <w:tcW w:w="1314" w:type="dxa"/>
            <w:tcBorders>
              <w:top w:val="single" w:sz="4" w:space="0" w:color="auto"/>
              <w:bottom w:val="single" w:sz="4" w:space="0" w:color="auto"/>
              <w:right w:val="single" w:sz="4" w:space="0" w:color="auto"/>
            </w:tcBorders>
          </w:tcPr>
          <w:p w14:paraId="576B47AF" w14:textId="20CF82F2" w:rsidR="00D83582" w:rsidRDefault="00D83582" w:rsidP="00D83582">
            <w:r>
              <w:t>5</w:t>
            </w:r>
            <w:r w:rsidR="009C618E">
              <w:t xml:space="preserve"> (2)</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49A9E827" w14:textId="6404C2F3" w:rsidR="00D83582" w:rsidRPr="009C618E" w:rsidRDefault="00D83582" w:rsidP="00D83582">
            <w:pPr>
              <w:rPr>
                <w:rFonts w:cstheme="minorHAnsi"/>
              </w:rPr>
            </w:pPr>
            <w:r w:rsidRPr="009C618E">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63C095F" w14:textId="552DC091" w:rsidR="00D83582" w:rsidRPr="009C618E" w:rsidRDefault="00D83582" w:rsidP="00D83582">
            <w:pPr>
              <w:rPr>
                <w:rFonts w:cstheme="minorHAnsi"/>
              </w:rPr>
            </w:pPr>
            <w:r w:rsidRPr="009C618E">
              <w:rPr>
                <w:rFonts w:cstheme="minorHAnsi"/>
                <w:color w:val="000000"/>
              </w:rPr>
              <w:t>95.66%</w:t>
            </w:r>
            <w:r w:rsidR="009C618E">
              <w:rPr>
                <w:rFonts w:cstheme="minorHAnsi"/>
                <w:color w:val="000000"/>
              </w:rPr>
              <w:t xml:space="preserve"> (204.4%)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84035E4" w14:textId="69466984" w:rsidR="00D83582" w:rsidRPr="009C618E" w:rsidRDefault="00D83582" w:rsidP="00D83582">
            <w:pPr>
              <w:rPr>
                <w:rFonts w:cstheme="minorHAnsi"/>
              </w:rPr>
            </w:pPr>
            <w:r w:rsidRPr="009C618E">
              <w:rPr>
                <w:rFonts w:cstheme="minorHAnsi"/>
                <w:color w:val="000000"/>
              </w:rPr>
              <w:t>£22,058</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2601E07" w14:textId="68068D3B" w:rsidR="00D83582" w:rsidRPr="009C618E" w:rsidRDefault="00D83582" w:rsidP="00D83582">
            <w:pPr>
              <w:rPr>
                <w:rFonts w:cstheme="minorHAnsi"/>
              </w:rPr>
            </w:pPr>
            <w:r w:rsidRPr="009C618E">
              <w:rPr>
                <w:rFonts w:cstheme="minorHAnsi"/>
                <w:color w:val="000000"/>
              </w:rPr>
              <w:t>£21,100</w:t>
            </w:r>
          </w:p>
        </w:tc>
        <w:tc>
          <w:tcPr>
            <w:tcW w:w="1007" w:type="dxa"/>
            <w:vMerge/>
            <w:tcBorders>
              <w:top w:val="single" w:sz="4" w:space="0" w:color="auto"/>
              <w:left w:val="single" w:sz="4" w:space="0" w:color="auto"/>
              <w:bottom w:val="single" w:sz="4" w:space="0" w:color="auto"/>
              <w:right w:val="single" w:sz="4" w:space="0" w:color="auto"/>
            </w:tcBorders>
          </w:tcPr>
          <w:p w14:paraId="6C6CE734"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28EEAF0D" w14:textId="045E98CA" w:rsidR="00D83582" w:rsidRDefault="009C618E" w:rsidP="00D83582">
            <w:r>
              <w:t>4 (8)</w:t>
            </w:r>
          </w:p>
        </w:tc>
        <w:tc>
          <w:tcPr>
            <w:tcW w:w="1134" w:type="dxa"/>
            <w:tcBorders>
              <w:top w:val="single" w:sz="4" w:space="0" w:color="auto"/>
              <w:left w:val="single" w:sz="4" w:space="0" w:color="auto"/>
              <w:bottom w:val="single" w:sz="4" w:space="0" w:color="auto"/>
              <w:right w:val="nil"/>
            </w:tcBorders>
            <w:shd w:val="clear" w:color="auto" w:fill="auto"/>
            <w:vAlign w:val="bottom"/>
          </w:tcPr>
          <w:p w14:paraId="67BE549F" w14:textId="6FF8A0F1" w:rsidR="00D83582" w:rsidRDefault="00D83582" w:rsidP="00D83582">
            <w:r>
              <w:rPr>
                <w:rFonts w:ascii="Aptos Narrow" w:hAnsi="Aptos Narrow"/>
                <w:color w:val="000000"/>
              </w:rPr>
              <w:t>123</w:t>
            </w:r>
          </w:p>
        </w:tc>
        <w:tc>
          <w:tcPr>
            <w:tcW w:w="3388" w:type="dxa"/>
            <w:vMerge/>
          </w:tcPr>
          <w:p w14:paraId="0BC13BDF" w14:textId="77777777" w:rsidR="00D83582" w:rsidRDefault="00D83582" w:rsidP="00D83582"/>
        </w:tc>
        <w:tc>
          <w:tcPr>
            <w:tcW w:w="4624" w:type="dxa"/>
            <w:vMerge/>
          </w:tcPr>
          <w:p w14:paraId="0F2280E7" w14:textId="77777777" w:rsidR="00D83582" w:rsidRDefault="00D83582" w:rsidP="00D83582"/>
        </w:tc>
      </w:tr>
      <w:tr w:rsidR="009C618E" w14:paraId="7A5E43DC" w14:textId="77777777" w:rsidTr="009C618E">
        <w:tc>
          <w:tcPr>
            <w:tcW w:w="1314" w:type="dxa"/>
            <w:tcBorders>
              <w:top w:val="single" w:sz="4" w:space="0" w:color="auto"/>
              <w:bottom w:val="single" w:sz="4" w:space="0" w:color="auto"/>
              <w:right w:val="single" w:sz="4" w:space="0" w:color="auto"/>
            </w:tcBorders>
          </w:tcPr>
          <w:p w14:paraId="5D786F63" w14:textId="20F1B7E2" w:rsidR="00D83582" w:rsidRDefault="00D83582" w:rsidP="00D83582">
            <w:r>
              <w:t>6</w:t>
            </w:r>
            <w:r w:rsidR="009C618E">
              <w:t xml:space="preserve"> (6)</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705604F9" w14:textId="25B7C5C3" w:rsidR="00D83582" w:rsidRPr="009C618E" w:rsidRDefault="00D83582" w:rsidP="00D83582">
            <w:pPr>
              <w:rPr>
                <w:rFonts w:cstheme="minorHAnsi"/>
              </w:rPr>
            </w:pPr>
            <w:r w:rsidRPr="009C618E">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F09C6C2" w14:textId="5B55BCCC" w:rsidR="00D83582" w:rsidRPr="009C618E" w:rsidRDefault="00D83582" w:rsidP="00D83582">
            <w:pPr>
              <w:rPr>
                <w:rFonts w:cstheme="minorHAnsi"/>
              </w:rPr>
            </w:pPr>
            <w:r w:rsidRPr="009C618E">
              <w:rPr>
                <w:rFonts w:cstheme="minorHAnsi"/>
                <w:color w:val="000000"/>
              </w:rPr>
              <w:t>78.20%</w:t>
            </w:r>
            <w:r w:rsidR="009C618E">
              <w:rPr>
                <w:rFonts w:cstheme="minorHAnsi"/>
                <w:color w:val="000000"/>
              </w:rPr>
              <w:t xml:space="preserve"> (88.9%)</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51AD586" w14:textId="10821403" w:rsidR="00D83582" w:rsidRPr="009C618E" w:rsidRDefault="00D83582" w:rsidP="00D83582">
            <w:pPr>
              <w:rPr>
                <w:rFonts w:cstheme="minorHAnsi"/>
              </w:rPr>
            </w:pPr>
            <w:r w:rsidRPr="009C618E">
              <w:rPr>
                <w:rFonts w:cstheme="minorHAnsi"/>
                <w:color w:val="000000"/>
              </w:rPr>
              <w:t>£13,979</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117E2F61" w14:textId="5E650612" w:rsidR="00D83582" w:rsidRPr="009C618E" w:rsidRDefault="00D83582" w:rsidP="00D83582">
            <w:pPr>
              <w:rPr>
                <w:rFonts w:cstheme="minorHAnsi"/>
              </w:rPr>
            </w:pPr>
            <w:r w:rsidRPr="009C618E">
              <w:rPr>
                <w:rFonts w:cstheme="minorHAnsi"/>
                <w:color w:val="000000"/>
              </w:rPr>
              <w:t>£10,931</w:t>
            </w:r>
          </w:p>
        </w:tc>
        <w:tc>
          <w:tcPr>
            <w:tcW w:w="1007" w:type="dxa"/>
            <w:vMerge/>
            <w:tcBorders>
              <w:top w:val="single" w:sz="4" w:space="0" w:color="auto"/>
              <w:left w:val="single" w:sz="4" w:space="0" w:color="auto"/>
              <w:bottom w:val="single" w:sz="4" w:space="0" w:color="auto"/>
              <w:right w:val="single" w:sz="4" w:space="0" w:color="auto"/>
            </w:tcBorders>
          </w:tcPr>
          <w:p w14:paraId="30EC4A78"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73F1BA34" w14:textId="593E65C2" w:rsidR="00D83582" w:rsidRDefault="009C618E" w:rsidP="00D83582">
            <w:r>
              <w:t>3 (2)</w:t>
            </w:r>
          </w:p>
        </w:tc>
        <w:tc>
          <w:tcPr>
            <w:tcW w:w="1134" w:type="dxa"/>
            <w:tcBorders>
              <w:top w:val="single" w:sz="4" w:space="0" w:color="auto"/>
              <w:left w:val="single" w:sz="4" w:space="0" w:color="auto"/>
              <w:bottom w:val="single" w:sz="4" w:space="0" w:color="auto"/>
              <w:right w:val="nil"/>
            </w:tcBorders>
            <w:shd w:val="clear" w:color="auto" w:fill="auto"/>
            <w:vAlign w:val="bottom"/>
          </w:tcPr>
          <w:p w14:paraId="1B814A37" w14:textId="3043348A" w:rsidR="00D83582" w:rsidRDefault="00D83582" w:rsidP="00D83582">
            <w:r>
              <w:rPr>
                <w:rFonts w:ascii="Aptos Narrow" w:hAnsi="Aptos Narrow"/>
                <w:color w:val="000000"/>
              </w:rPr>
              <w:t>137</w:t>
            </w:r>
          </w:p>
        </w:tc>
        <w:tc>
          <w:tcPr>
            <w:tcW w:w="3388" w:type="dxa"/>
            <w:vMerge/>
          </w:tcPr>
          <w:p w14:paraId="4A08D40E" w14:textId="77777777" w:rsidR="00D83582" w:rsidRDefault="00D83582" w:rsidP="00D83582"/>
        </w:tc>
        <w:tc>
          <w:tcPr>
            <w:tcW w:w="4624" w:type="dxa"/>
            <w:vMerge/>
          </w:tcPr>
          <w:p w14:paraId="4FBC0024" w14:textId="77777777" w:rsidR="00D83582" w:rsidRDefault="00D83582" w:rsidP="00D83582"/>
        </w:tc>
      </w:tr>
      <w:tr w:rsidR="009C618E" w14:paraId="01EA972B" w14:textId="77777777" w:rsidTr="009C618E">
        <w:tc>
          <w:tcPr>
            <w:tcW w:w="1314" w:type="dxa"/>
            <w:tcBorders>
              <w:top w:val="single" w:sz="4" w:space="0" w:color="auto"/>
              <w:bottom w:val="single" w:sz="4" w:space="0" w:color="auto"/>
              <w:right w:val="single" w:sz="4" w:space="0" w:color="auto"/>
            </w:tcBorders>
          </w:tcPr>
          <w:p w14:paraId="0D5E4683" w14:textId="6E9A9D41" w:rsidR="00D83582" w:rsidRDefault="00D83582" w:rsidP="00D83582">
            <w:r>
              <w:t>7</w:t>
            </w:r>
            <w:r w:rsidR="009C618E">
              <w:t xml:space="preserve"> (7)</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74C3BF2B" w14:textId="162A8962" w:rsidR="00D83582" w:rsidRPr="009C618E" w:rsidRDefault="00D83582" w:rsidP="00D83582">
            <w:pPr>
              <w:rPr>
                <w:rFonts w:cstheme="minorHAnsi"/>
              </w:rPr>
            </w:pPr>
            <w:r w:rsidRPr="009C618E">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489BB93" w14:textId="4320F8DB" w:rsidR="00D83582" w:rsidRPr="009C618E" w:rsidRDefault="00D83582" w:rsidP="00D83582">
            <w:pPr>
              <w:rPr>
                <w:rFonts w:cstheme="minorHAnsi"/>
              </w:rPr>
            </w:pPr>
            <w:r w:rsidRPr="009C618E">
              <w:rPr>
                <w:rFonts w:cstheme="minorHAnsi"/>
                <w:color w:val="000000"/>
              </w:rPr>
              <w:t>39.16%</w:t>
            </w:r>
            <w:r w:rsidR="009C618E">
              <w:rPr>
                <w:rFonts w:cstheme="minorHAnsi"/>
                <w:color w:val="000000"/>
              </w:rPr>
              <w:t xml:space="preserve"> (17.2%)</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2EDC010" w14:textId="39C332D6" w:rsidR="00D83582" w:rsidRPr="009C618E" w:rsidRDefault="00D83582" w:rsidP="00D83582">
            <w:pPr>
              <w:rPr>
                <w:rFonts w:cstheme="minorHAnsi"/>
              </w:rPr>
            </w:pPr>
            <w:r w:rsidRPr="009C618E">
              <w:rPr>
                <w:rFonts w:cstheme="minorHAnsi"/>
                <w:color w:val="000000"/>
              </w:rPr>
              <w:t>£14,454</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5EDC820" w14:textId="64A6C11F" w:rsidR="00D83582" w:rsidRPr="009C618E" w:rsidRDefault="00D83582" w:rsidP="00D83582">
            <w:pPr>
              <w:rPr>
                <w:rFonts w:cstheme="minorHAnsi"/>
              </w:rPr>
            </w:pPr>
            <w:r w:rsidRPr="009C618E">
              <w:rPr>
                <w:rFonts w:cstheme="minorHAnsi"/>
                <w:color w:val="000000"/>
              </w:rPr>
              <w:t>£5,660</w:t>
            </w:r>
          </w:p>
        </w:tc>
        <w:tc>
          <w:tcPr>
            <w:tcW w:w="1007" w:type="dxa"/>
            <w:vMerge/>
            <w:tcBorders>
              <w:top w:val="single" w:sz="4" w:space="0" w:color="auto"/>
              <w:left w:val="single" w:sz="4" w:space="0" w:color="auto"/>
              <w:bottom w:val="single" w:sz="4" w:space="0" w:color="auto"/>
              <w:right w:val="single" w:sz="4" w:space="0" w:color="auto"/>
            </w:tcBorders>
          </w:tcPr>
          <w:p w14:paraId="3E237B2C" w14:textId="77777777" w:rsidR="00D83582" w:rsidRDefault="00D83582" w:rsidP="00D83582"/>
        </w:tc>
        <w:tc>
          <w:tcPr>
            <w:tcW w:w="1559" w:type="dxa"/>
            <w:tcBorders>
              <w:top w:val="single" w:sz="4" w:space="0" w:color="auto"/>
              <w:left w:val="single" w:sz="4" w:space="0" w:color="auto"/>
              <w:bottom w:val="single" w:sz="4" w:space="0" w:color="auto"/>
              <w:right w:val="single" w:sz="4" w:space="0" w:color="auto"/>
            </w:tcBorders>
          </w:tcPr>
          <w:p w14:paraId="72392804" w14:textId="3FF04D4C" w:rsidR="00D83582" w:rsidRDefault="009C618E" w:rsidP="00D83582">
            <w:r>
              <w:t>1 (1)</w:t>
            </w:r>
          </w:p>
        </w:tc>
        <w:tc>
          <w:tcPr>
            <w:tcW w:w="1134" w:type="dxa"/>
            <w:tcBorders>
              <w:top w:val="single" w:sz="4" w:space="0" w:color="auto"/>
              <w:left w:val="single" w:sz="4" w:space="0" w:color="auto"/>
              <w:bottom w:val="single" w:sz="4" w:space="0" w:color="auto"/>
              <w:right w:val="nil"/>
            </w:tcBorders>
            <w:shd w:val="clear" w:color="auto" w:fill="auto"/>
            <w:vAlign w:val="bottom"/>
          </w:tcPr>
          <w:p w14:paraId="15C103E9" w14:textId="1D4356B2" w:rsidR="00D83582" w:rsidRDefault="00D83582" w:rsidP="00D83582">
            <w:r>
              <w:rPr>
                <w:rFonts w:ascii="Aptos Narrow" w:hAnsi="Aptos Narrow"/>
                <w:color w:val="000000"/>
              </w:rPr>
              <w:t>164</w:t>
            </w:r>
          </w:p>
        </w:tc>
        <w:tc>
          <w:tcPr>
            <w:tcW w:w="3388" w:type="dxa"/>
            <w:vMerge/>
            <w:tcBorders>
              <w:bottom w:val="single" w:sz="4" w:space="0" w:color="auto"/>
            </w:tcBorders>
          </w:tcPr>
          <w:p w14:paraId="28BFCF32" w14:textId="77777777" w:rsidR="00D83582" w:rsidRDefault="00D83582" w:rsidP="00D83582"/>
        </w:tc>
        <w:tc>
          <w:tcPr>
            <w:tcW w:w="4624" w:type="dxa"/>
            <w:vMerge/>
            <w:tcBorders>
              <w:bottom w:val="single" w:sz="4" w:space="0" w:color="auto"/>
            </w:tcBorders>
          </w:tcPr>
          <w:p w14:paraId="617C8AED" w14:textId="77777777" w:rsidR="00D83582" w:rsidRDefault="00D83582" w:rsidP="00D83582"/>
        </w:tc>
      </w:tr>
    </w:tbl>
    <w:p w14:paraId="1FB603C5" w14:textId="77777777" w:rsidR="00D83582" w:rsidRDefault="00D83582" w:rsidP="00D83582"/>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104"/>
        <w:gridCol w:w="4908"/>
      </w:tblGrid>
      <w:tr w:rsidR="009C618E" w14:paraId="606CFE9C" w14:textId="77777777" w:rsidTr="005857FD">
        <w:tc>
          <w:tcPr>
            <w:tcW w:w="20921" w:type="dxa"/>
            <w:gridSpan w:val="10"/>
          </w:tcPr>
          <w:p w14:paraId="3657C6A8" w14:textId="77777777" w:rsidR="009C618E" w:rsidRPr="008855E6" w:rsidRDefault="009C618E" w:rsidP="005857FD">
            <w:pPr>
              <w:rPr>
                <w:b/>
                <w:bCs/>
              </w:rPr>
            </w:pPr>
            <w:r w:rsidRPr="008855E6">
              <w:rPr>
                <w:b/>
                <w:bCs/>
                <w:sz w:val="28"/>
                <w:szCs w:val="28"/>
              </w:rPr>
              <w:t xml:space="preserve">OFLOG Performance Indicators: Financial Resilience – Lincolnshire District Councils – Metric </w:t>
            </w:r>
            <w:r>
              <w:rPr>
                <w:b/>
                <w:bCs/>
                <w:sz w:val="28"/>
                <w:szCs w:val="28"/>
              </w:rPr>
              <w:t>2</w:t>
            </w:r>
            <w:r w:rsidRPr="008855E6">
              <w:rPr>
                <w:b/>
                <w:bCs/>
                <w:sz w:val="28"/>
                <w:szCs w:val="28"/>
              </w:rPr>
              <w:t xml:space="preserve">: Non-ringfenced reserves as percentage of </w:t>
            </w:r>
            <w:r>
              <w:rPr>
                <w:b/>
                <w:bCs/>
                <w:sz w:val="28"/>
                <w:szCs w:val="28"/>
              </w:rPr>
              <w:t>service spend</w:t>
            </w:r>
          </w:p>
        </w:tc>
      </w:tr>
      <w:tr w:rsidR="009C618E" w14:paraId="4C29F651" w14:textId="77777777" w:rsidTr="005857FD">
        <w:tc>
          <w:tcPr>
            <w:tcW w:w="20921" w:type="dxa"/>
            <w:gridSpan w:val="10"/>
          </w:tcPr>
          <w:p w14:paraId="3AC315DE" w14:textId="640ECA27" w:rsidR="009C618E" w:rsidRPr="008855E6" w:rsidRDefault="009C618E" w:rsidP="009C618E">
            <w:pPr>
              <w:rPr>
                <w:b/>
                <w:bCs/>
                <w:sz w:val="24"/>
                <w:szCs w:val="24"/>
              </w:rPr>
            </w:pPr>
            <w:r w:rsidRPr="008855E6">
              <w:rPr>
                <w:b/>
                <w:bCs/>
                <w:sz w:val="24"/>
                <w:szCs w:val="24"/>
              </w:rPr>
              <w:t>All data is for the Financial Year 202</w:t>
            </w:r>
            <w:r>
              <w:rPr>
                <w:b/>
                <w:bCs/>
                <w:sz w:val="24"/>
                <w:szCs w:val="24"/>
              </w:rPr>
              <w:t>2</w:t>
            </w:r>
            <w:r w:rsidRPr="008855E6">
              <w:rPr>
                <w:b/>
                <w:bCs/>
                <w:sz w:val="24"/>
                <w:szCs w:val="24"/>
              </w:rPr>
              <w:t>/2</w:t>
            </w:r>
            <w:r>
              <w:rPr>
                <w:b/>
                <w:bCs/>
                <w:sz w:val="24"/>
                <w:szCs w:val="24"/>
              </w:rPr>
              <w:t>3</w:t>
            </w:r>
            <w:r w:rsidRPr="008855E6">
              <w:rPr>
                <w:b/>
                <w:bCs/>
                <w:sz w:val="24"/>
                <w:szCs w:val="24"/>
              </w:rPr>
              <w:t>.</w:t>
            </w:r>
            <w:r>
              <w:rPr>
                <w:b/>
                <w:bCs/>
                <w:sz w:val="24"/>
                <w:szCs w:val="24"/>
              </w:rPr>
              <w:t xml:space="preserve"> Data for the previous financial year 2021/22 </w:t>
            </w:r>
            <w:r w:rsidR="00093BE7">
              <w:rPr>
                <w:b/>
                <w:bCs/>
                <w:sz w:val="24"/>
                <w:szCs w:val="24"/>
              </w:rPr>
              <w:t>is</w:t>
            </w:r>
            <w:r>
              <w:rPr>
                <w:b/>
                <w:bCs/>
                <w:sz w:val="24"/>
                <w:szCs w:val="24"/>
              </w:rPr>
              <w:t xml:space="preserve"> in brackets.</w:t>
            </w:r>
            <w:r w:rsidRPr="008855E6">
              <w:rPr>
                <w:b/>
                <w:bCs/>
                <w:sz w:val="24"/>
                <w:szCs w:val="24"/>
              </w:rPr>
              <w:t xml:space="preserve"> For finance data, national rankings and decile placings are calculated from the pool of English district council</w:t>
            </w:r>
            <w:r>
              <w:rPr>
                <w:b/>
                <w:bCs/>
                <w:sz w:val="24"/>
                <w:szCs w:val="24"/>
              </w:rPr>
              <w:t>s</w:t>
            </w:r>
            <w:r w:rsidRPr="008855E6">
              <w:rPr>
                <w:b/>
                <w:bCs/>
                <w:sz w:val="24"/>
                <w:szCs w:val="24"/>
              </w:rPr>
              <w:t>. Counties, unitaries, metropolitans and London borough councils are excluded. Authorities where data is lacking for a specific metric are also excluded. For this metric the total pool is 1</w:t>
            </w:r>
            <w:r>
              <w:rPr>
                <w:b/>
                <w:bCs/>
                <w:sz w:val="24"/>
                <w:szCs w:val="24"/>
              </w:rPr>
              <w:t>78</w:t>
            </w:r>
            <w:r w:rsidRPr="008855E6">
              <w:rPr>
                <w:b/>
                <w:bCs/>
                <w:sz w:val="24"/>
                <w:szCs w:val="24"/>
              </w:rPr>
              <w:t xml:space="preserve"> with 1</w:t>
            </w:r>
            <w:r w:rsidRPr="008855E6">
              <w:rPr>
                <w:b/>
                <w:bCs/>
                <w:sz w:val="24"/>
                <w:szCs w:val="24"/>
                <w:vertAlign w:val="superscript"/>
              </w:rPr>
              <w:t>st</w:t>
            </w:r>
            <w:r w:rsidRPr="008855E6">
              <w:rPr>
                <w:b/>
                <w:bCs/>
                <w:sz w:val="24"/>
                <w:szCs w:val="24"/>
              </w:rPr>
              <w:t xml:space="preserve"> being the best performer. </w:t>
            </w:r>
          </w:p>
          <w:p w14:paraId="094C38C1" w14:textId="692AA6FC" w:rsidR="009C618E" w:rsidRPr="008855E6" w:rsidRDefault="009C618E" w:rsidP="009C618E">
            <w:pPr>
              <w:rPr>
                <w:b/>
                <w:bCs/>
                <w:sz w:val="24"/>
                <w:szCs w:val="24"/>
              </w:rPr>
            </w:pPr>
            <w:r w:rsidRPr="008855E6">
              <w:rPr>
                <w:b/>
                <w:bCs/>
                <w:sz w:val="24"/>
                <w:szCs w:val="24"/>
              </w:rPr>
              <w:t>Decile Key: Decile 9 – in the top 20% of English local authorities, Decile 2 – in the bottom 20% of English local authorities, Deciles 6+ in the top half of English local authorities for given indicator.</w:t>
            </w:r>
          </w:p>
        </w:tc>
      </w:tr>
      <w:tr w:rsidR="009C618E" w14:paraId="18376DDD" w14:textId="77777777" w:rsidTr="00093BE7">
        <w:tc>
          <w:tcPr>
            <w:tcW w:w="1314" w:type="dxa"/>
            <w:tcBorders>
              <w:bottom w:val="single" w:sz="4" w:space="0" w:color="auto"/>
            </w:tcBorders>
          </w:tcPr>
          <w:p w14:paraId="00DB4FBB" w14:textId="77777777" w:rsidR="009C618E" w:rsidRPr="008855E6" w:rsidRDefault="009C618E" w:rsidP="009C618E">
            <w:pPr>
              <w:rPr>
                <w:b/>
                <w:bCs/>
              </w:rPr>
            </w:pPr>
            <w:r w:rsidRPr="008855E6">
              <w:rPr>
                <w:b/>
                <w:bCs/>
              </w:rPr>
              <w:t>Lincolnshire Ranking</w:t>
            </w:r>
          </w:p>
        </w:tc>
        <w:tc>
          <w:tcPr>
            <w:tcW w:w="1682" w:type="dxa"/>
            <w:tcBorders>
              <w:bottom w:val="single" w:sz="4" w:space="0" w:color="auto"/>
            </w:tcBorders>
          </w:tcPr>
          <w:p w14:paraId="788E654A" w14:textId="77777777" w:rsidR="009C618E" w:rsidRPr="008855E6" w:rsidRDefault="009C618E" w:rsidP="009C618E">
            <w:pPr>
              <w:rPr>
                <w:b/>
                <w:bCs/>
              </w:rPr>
            </w:pPr>
            <w:r w:rsidRPr="008855E6">
              <w:rPr>
                <w:b/>
                <w:bCs/>
              </w:rPr>
              <w:t>Authority</w:t>
            </w:r>
          </w:p>
        </w:tc>
        <w:tc>
          <w:tcPr>
            <w:tcW w:w="1133" w:type="dxa"/>
            <w:tcBorders>
              <w:bottom w:val="single" w:sz="4" w:space="0" w:color="auto"/>
            </w:tcBorders>
          </w:tcPr>
          <w:p w14:paraId="09D0B61B" w14:textId="77777777" w:rsidR="009C618E" w:rsidRPr="008855E6" w:rsidRDefault="009C618E" w:rsidP="009C618E">
            <w:pPr>
              <w:rPr>
                <w:b/>
                <w:bCs/>
              </w:rPr>
            </w:pPr>
            <w:r w:rsidRPr="008855E6">
              <w:rPr>
                <w:b/>
                <w:bCs/>
              </w:rPr>
              <w:t>Value</w:t>
            </w:r>
          </w:p>
        </w:tc>
        <w:tc>
          <w:tcPr>
            <w:tcW w:w="2689" w:type="dxa"/>
            <w:tcBorders>
              <w:bottom w:val="single" w:sz="4" w:space="0" w:color="auto"/>
            </w:tcBorders>
          </w:tcPr>
          <w:p w14:paraId="26E6F051" w14:textId="77777777" w:rsidR="009C618E" w:rsidRPr="008855E6" w:rsidRDefault="009C618E" w:rsidP="009C618E">
            <w:pPr>
              <w:rPr>
                <w:b/>
                <w:bCs/>
              </w:rPr>
            </w:pPr>
            <w:r>
              <w:rPr>
                <w:b/>
                <w:bCs/>
              </w:rPr>
              <w:t>Total Service Expenditure</w:t>
            </w:r>
            <w:r w:rsidRPr="008855E6">
              <w:rPr>
                <w:b/>
                <w:bCs/>
              </w:rPr>
              <w:t xml:space="preserve"> (£ thousands)</w:t>
            </w:r>
          </w:p>
        </w:tc>
        <w:tc>
          <w:tcPr>
            <w:tcW w:w="2391" w:type="dxa"/>
            <w:tcBorders>
              <w:bottom w:val="single" w:sz="4" w:space="0" w:color="auto"/>
            </w:tcBorders>
          </w:tcPr>
          <w:p w14:paraId="049E2A59" w14:textId="77777777" w:rsidR="009C618E" w:rsidRPr="008855E6" w:rsidRDefault="009C618E" w:rsidP="009C618E">
            <w:pPr>
              <w:rPr>
                <w:b/>
                <w:bCs/>
              </w:rPr>
            </w:pPr>
            <w:r w:rsidRPr="008855E6">
              <w:rPr>
                <w:b/>
                <w:bCs/>
              </w:rPr>
              <w:t>Total un-ringfenced reserves (£ thousands)</w:t>
            </w:r>
          </w:p>
        </w:tc>
        <w:tc>
          <w:tcPr>
            <w:tcW w:w="1007" w:type="dxa"/>
            <w:tcBorders>
              <w:bottom w:val="single" w:sz="4" w:space="0" w:color="auto"/>
            </w:tcBorders>
          </w:tcPr>
          <w:p w14:paraId="42CB406B" w14:textId="77777777" w:rsidR="009C618E" w:rsidRPr="008855E6" w:rsidRDefault="009C618E" w:rsidP="009C618E">
            <w:pPr>
              <w:rPr>
                <w:b/>
                <w:bCs/>
              </w:rPr>
            </w:pPr>
            <w:r w:rsidRPr="008855E6">
              <w:rPr>
                <w:b/>
                <w:bCs/>
              </w:rPr>
              <w:t>Data Polarity</w:t>
            </w:r>
          </w:p>
        </w:tc>
        <w:tc>
          <w:tcPr>
            <w:tcW w:w="1559" w:type="dxa"/>
            <w:tcBorders>
              <w:bottom w:val="single" w:sz="4" w:space="0" w:color="auto"/>
            </w:tcBorders>
          </w:tcPr>
          <w:p w14:paraId="0A732988" w14:textId="77777777" w:rsidR="009C618E" w:rsidRPr="008855E6" w:rsidRDefault="009C618E" w:rsidP="009C618E">
            <w:pPr>
              <w:rPr>
                <w:b/>
                <w:bCs/>
              </w:rPr>
            </w:pPr>
            <w:r w:rsidRPr="008855E6">
              <w:rPr>
                <w:b/>
                <w:bCs/>
              </w:rPr>
              <w:t>National Decile Placing</w:t>
            </w:r>
          </w:p>
        </w:tc>
        <w:tc>
          <w:tcPr>
            <w:tcW w:w="1134" w:type="dxa"/>
            <w:tcBorders>
              <w:bottom w:val="single" w:sz="4" w:space="0" w:color="auto"/>
            </w:tcBorders>
          </w:tcPr>
          <w:p w14:paraId="7F0D0604" w14:textId="77777777" w:rsidR="009C618E" w:rsidRPr="008855E6" w:rsidRDefault="009C618E" w:rsidP="009C618E">
            <w:pPr>
              <w:rPr>
                <w:b/>
                <w:bCs/>
              </w:rPr>
            </w:pPr>
            <w:r w:rsidRPr="008855E6">
              <w:rPr>
                <w:b/>
                <w:bCs/>
              </w:rPr>
              <w:t>National Ranking</w:t>
            </w:r>
          </w:p>
        </w:tc>
        <w:tc>
          <w:tcPr>
            <w:tcW w:w="3104" w:type="dxa"/>
            <w:tcBorders>
              <w:bottom w:val="single" w:sz="4" w:space="0" w:color="auto"/>
            </w:tcBorders>
          </w:tcPr>
          <w:p w14:paraId="31ACCFD3" w14:textId="77777777" w:rsidR="009C618E" w:rsidRPr="008855E6" w:rsidRDefault="009C618E" w:rsidP="009C618E">
            <w:pPr>
              <w:rPr>
                <w:b/>
                <w:bCs/>
              </w:rPr>
            </w:pPr>
            <w:r>
              <w:rPr>
                <w:b/>
                <w:bCs/>
              </w:rPr>
              <w:t>National &amp; Regional Context</w:t>
            </w:r>
          </w:p>
        </w:tc>
        <w:tc>
          <w:tcPr>
            <w:tcW w:w="4908" w:type="dxa"/>
            <w:tcBorders>
              <w:bottom w:val="single" w:sz="4" w:space="0" w:color="auto"/>
            </w:tcBorders>
          </w:tcPr>
          <w:p w14:paraId="4DAD9B9B" w14:textId="77777777" w:rsidR="009C618E" w:rsidRPr="008855E6" w:rsidRDefault="009C618E" w:rsidP="009C618E">
            <w:pPr>
              <w:rPr>
                <w:b/>
                <w:bCs/>
              </w:rPr>
            </w:pPr>
            <w:r w:rsidRPr="008855E6">
              <w:rPr>
                <w:b/>
                <w:bCs/>
              </w:rPr>
              <w:t>Source</w:t>
            </w:r>
            <w:r>
              <w:rPr>
                <w:b/>
                <w:bCs/>
              </w:rPr>
              <w:t xml:space="preserve"> &amp; Explanatory Notes</w:t>
            </w:r>
          </w:p>
        </w:tc>
      </w:tr>
      <w:tr w:rsidR="00093BE7" w:rsidRPr="00093BE7" w14:paraId="75E667E6" w14:textId="77777777" w:rsidTr="00093BE7">
        <w:tc>
          <w:tcPr>
            <w:tcW w:w="1314" w:type="dxa"/>
            <w:tcBorders>
              <w:top w:val="single" w:sz="4" w:space="0" w:color="auto"/>
              <w:bottom w:val="single" w:sz="4" w:space="0" w:color="auto"/>
              <w:right w:val="single" w:sz="4" w:space="0" w:color="auto"/>
            </w:tcBorders>
          </w:tcPr>
          <w:p w14:paraId="217E87FC" w14:textId="29249700" w:rsidR="00F207E8" w:rsidRPr="00093BE7" w:rsidRDefault="00F207E8" w:rsidP="00F207E8">
            <w:pPr>
              <w:rPr>
                <w:rFonts w:cstheme="minorHAnsi"/>
              </w:rPr>
            </w:pPr>
            <w:r w:rsidRPr="00093BE7">
              <w:rPr>
                <w:rFonts w:cstheme="minorHAnsi"/>
              </w:rPr>
              <w:t>1</w:t>
            </w:r>
            <w:r w:rsidR="00093BE7" w:rsidRPr="00093BE7">
              <w:rPr>
                <w:rFonts w:cstheme="minorHAnsi"/>
              </w:rPr>
              <w:t xml:space="preserve"> (3)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0E339A14" w14:textId="295DD953" w:rsidR="00F207E8" w:rsidRPr="00093BE7" w:rsidRDefault="00F207E8" w:rsidP="00F207E8">
            <w:pPr>
              <w:rPr>
                <w:rFonts w:cstheme="minorHAnsi"/>
              </w:rPr>
            </w:pPr>
            <w:r w:rsidRPr="00093BE7">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CAAA856" w14:textId="137E7F97" w:rsidR="00F207E8" w:rsidRPr="00093BE7" w:rsidRDefault="00F207E8" w:rsidP="00F207E8">
            <w:pPr>
              <w:rPr>
                <w:rFonts w:cstheme="minorHAnsi"/>
              </w:rPr>
            </w:pPr>
            <w:r w:rsidRPr="00093BE7">
              <w:rPr>
                <w:rFonts w:cstheme="minorHAnsi"/>
                <w:color w:val="000000"/>
              </w:rPr>
              <w:t>156.04%</w:t>
            </w:r>
            <w:r w:rsidR="00093BE7" w:rsidRPr="00093BE7">
              <w:rPr>
                <w:rFonts w:cstheme="minorHAnsi"/>
                <w:color w:val="000000"/>
              </w:rPr>
              <w:t xml:space="preserve"> (165%)</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A08D87C" w14:textId="64640EC2" w:rsidR="00F207E8" w:rsidRPr="00093BE7" w:rsidRDefault="00F207E8" w:rsidP="00F207E8">
            <w:pPr>
              <w:rPr>
                <w:rFonts w:cstheme="minorHAnsi"/>
              </w:rPr>
            </w:pPr>
            <w:r w:rsidRPr="00093BE7">
              <w:rPr>
                <w:rFonts w:cstheme="minorHAnsi"/>
                <w:color w:val="000000"/>
              </w:rPr>
              <w:t>£15,069</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06606F4" w14:textId="718B1940" w:rsidR="00F207E8" w:rsidRPr="00093BE7" w:rsidRDefault="00F207E8" w:rsidP="00F207E8">
            <w:pPr>
              <w:rPr>
                <w:rFonts w:cstheme="minorHAnsi"/>
              </w:rPr>
            </w:pPr>
            <w:r w:rsidRPr="00093BE7">
              <w:rPr>
                <w:rFonts w:cstheme="minorHAnsi"/>
                <w:color w:val="000000"/>
              </w:rPr>
              <w:t>£23,514</w:t>
            </w:r>
          </w:p>
        </w:tc>
        <w:tc>
          <w:tcPr>
            <w:tcW w:w="1007" w:type="dxa"/>
            <w:vMerge w:val="restart"/>
            <w:tcBorders>
              <w:top w:val="single" w:sz="4" w:space="0" w:color="auto"/>
              <w:left w:val="single" w:sz="4" w:space="0" w:color="auto"/>
              <w:bottom w:val="single" w:sz="4" w:space="0" w:color="auto"/>
              <w:right w:val="single" w:sz="4" w:space="0" w:color="auto"/>
            </w:tcBorders>
          </w:tcPr>
          <w:p w14:paraId="1525ACCA" w14:textId="77777777" w:rsidR="00F207E8" w:rsidRPr="00093BE7" w:rsidRDefault="00F207E8" w:rsidP="00F207E8">
            <w:pPr>
              <w:rPr>
                <w:rFonts w:cstheme="minorHAnsi"/>
              </w:rPr>
            </w:pPr>
            <w:r w:rsidRPr="00093BE7">
              <w:rPr>
                <w:rFonts w:cstheme="minorHAnsi"/>
              </w:rPr>
              <w:t>Highest to Lowest</w:t>
            </w:r>
          </w:p>
        </w:tc>
        <w:tc>
          <w:tcPr>
            <w:tcW w:w="1559" w:type="dxa"/>
            <w:tcBorders>
              <w:top w:val="single" w:sz="4" w:space="0" w:color="auto"/>
              <w:left w:val="single" w:sz="4" w:space="0" w:color="auto"/>
              <w:bottom w:val="single" w:sz="4" w:space="0" w:color="auto"/>
              <w:right w:val="single" w:sz="4" w:space="0" w:color="auto"/>
            </w:tcBorders>
          </w:tcPr>
          <w:p w14:paraId="61627575" w14:textId="6C822CA5" w:rsidR="00F207E8" w:rsidRPr="00093BE7" w:rsidRDefault="00F207E8" w:rsidP="00F207E8">
            <w:pPr>
              <w:rPr>
                <w:rFonts w:cstheme="minorHAnsi"/>
              </w:rPr>
            </w:pPr>
            <w:r w:rsidRPr="00093BE7">
              <w:rPr>
                <w:rFonts w:cstheme="minorHAnsi"/>
              </w:rPr>
              <w:t>7</w:t>
            </w:r>
            <w:r w:rsidR="00093BE7" w:rsidRPr="00093BE7">
              <w:rPr>
                <w:rFonts w:cstheme="minorHAnsi"/>
              </w:rPr>
              <w:t xml:space="preserve"> (7)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940EC90" w14:textId="3514C85B" w:rsidR="00F207E8" w:rsidRPr="00093BE7" w:rsidRDefault="00F207E8" w:rsidP="00F207E8">
            <w:pPr>
              <w:rPr>
                <w:rFonts w:cstheme="minorHAnsi"/>
              </w:rPr>
            </w:pPr>
            <w:r w:rsidRPr="00093BE7">
              <w:rPr>
                <w:rFonts w:cstheme="minorHAnsi"/>
                <w:color w:val="000000"/>
              </w:rPr>
              <w:t>53</w:t>
            </w:r>
          </w:p>
        </w:tc>
        <w:tc>
          <w:tcPr>
            <w:tcW w:w="3104" w:type="dxa"/>
            <w:vMerge w:val="restart"/>
            <w:tcBorders>
              <w:top w:val="single" w:sz="4" w:space="0" w:color="auto"/>
              <w:left w:val="single" w:sz="4" w:space="0" w:color="auto"/>
              <w:bottom w:val="single" w:sz="4" w:space="0" w:color="auto"/>
              <w:right w:val="single" w:sz="4" w:space="0" w:color="auto"/>
            </w:tcBorders>
          </w:tcPr>
          <w:p w14:paraId="6AC008BB" w14:textId="1EBC6027" w:rsidR="00F207E8" w:rsidRPr="00093BE7" w:rsidRDefault="00F207E8" w:rsidP="00F207E8">
            <w:pPr>
              <w:rPr>
                <w:rFonts w:cstheme="minorHAnsi"/>
              </w:rPr>
            </w:pPr>
            <w:r w:rsidRPr="00093BE7">
              <w:rPr>
                <w:rFonts w:cstheme="minorHAnsi"/>
              </w:rPr>
              <w:t>The median for district councils in England was 1</w:t>
            </w:r>
            <w:r w:rsidR="002172D0">
              <w:rPr>
                <w:rFonts w:cstheme="minorHAnsi"/>
              </w:rPr>
              <w:t>22.69</w:t>
            </w:r>
            <w:r w:rsidRPr="00093BE7">
              <w:rPr>
                <w:rFonts w:cstheme="minorHAnsi"/>
              </w:rPr>
              <w:t xml:space="preserve">%. The median for authorities in the East Midlands was </w:t>
            </w:r>
            <w:r w:rsidR="002172D0">
              <w:rPr>
                <w:rFonts w:cstheme="minorHAnsi"/>
              </w:rPr>
              <w:t>98.70</w:t>
            </w:r>
            <w:r w:rsidRPr="00093BE7">
              <w:rPr>
                <w:rFonts w:cstheme="minorHAnsi"/>
              </w:rPr>
              <w:t>%. The median for districts in Lincolnshire was 1</w:t>
            </w:r>
            <w:r w:rsidR="002172D0">
              <w:rPr>
                <w:rFonts w:cstheme="minorHAnsi"/>
              </w:rPr>
              <w:t>22.03</w:t>
            </w:r>
            <w:r w:rsidRPr="00093BE7">
              <w:rPr>
                <w:rFonts w:cstheme="minorHAnsi"/>
              </w:rPr>
              <w:t>%.</w:t>
            </w:r>
            <w:r w:rsidRPr="00093BE7">
              <w:rPr>
                <w:rFonts w:cstheme="minorHAnsi"/>
              </w:rPr>
              <w:t xml:space="preserve"> </w:t>
            </w:r>
            <w:r w:rsidRPr="00093BE7">
              <w:rPr>
                <w:rFonts w:cstheme="minorHAnsi"/>
              </w:rPr>
              <w:t>The median for SKDC’s CIPFA Peers was</w:t>
            </w:r>
            <w:r w:rsidRPr="00093BE7">
              <w:rPr>
                <w:rFonts w:cstheme="minorHAnsi"/>
              </w:rPr>
              <w:t xml:space="preserve"> </w:t>
            </w:r>
            <w:r w:rsidR="002172D0">
              <w:rPr>
                <w:rFonts w:cstheme="minorHAnsi"/>
              </w:rPr>
              <w:t>89.29</w:t>
            </w:r>
            <w:r w:rsidR="00093BE7" w:rsidRPr="00093BE7">
              <w:rPr>
                <w:rFonts w:cstheme="minorHAnsi"/>
              </w:rPr>
              <w:t xml:space="preserve">%. </w:t>
            </w:r>
          </w:p>
        </w:tc>
        <w:tc>
          <w:tcPr>
            <w:tcW w:w="4908" w:type="dxa"/>
            <w:vMerge w:val="restart"/>
            <w:tcBorders>
              <w:top w:val="single" w:sz="4" w:space="0" w:color="auto"/>
              <w:left w:val="single" w:sz="4" w:space="0" w:color="auto"/>
              <w:bottom w:val="single" w:sz="4" w:space="0" w:color="auto"/>
            </w:tcBorders>
          </w:tcPr>
          <w:p w14:paraId="641BE584" w14:textId="77777777" w:rsidR="00F207E8" w:rsidRPr="00093BE7" w:rsidRDefault="00F207E8" w:rsidP="00F207E8">
            <w:pPr>
              <w:rPr>
                <w:rFonts w:cstheme="minorHAnsi"/>
                <w:i/>
                <w:iCs/>
              </w:rPr>
            </w:pPr>
            <w:r w:rsidRPr="00093BE7">
              <w:rPr>
                <w:rFonts w:cstheme="minorHAnsi"/>
                <w:i/>
                <w:iCs/>
              </w:rPr>
              <w:t xml:space="preserve">DLUHC: Local authority general fund earmarked and unallocated reserve levels, 2017-18 to </w:t>
            </w:r>
            <w:proofErr w:type="gramStart"/>
            <w:r w:rsidRPr="00093BE7">
              <w:rPr>
                <w:rFonts w:cstheme="minorHAnsi"/>
                <w:i/>
                <w:iCs/>
              </w:rPr>
              <w:t>2021-22</w:t>
            </w:r>
            <w:proofErr w:type="gramEnd"/>
            <w:r w:rsidRPr="00093BE7">
              <w:rPr>
                <w:rFonts w:cstheme="minorHAnsi"/>
                <w:i/>
                <w:iCs/>
              </w:rPr>
              <w:t xml:space="preserve"> </w:t>
            </w:r>
          </w:p>
          <w:p w14:paraId="1D40F543" w14:textId="77777777" w:rsidR="00F207E8" w:rsidRPr="00093BE7" w:rsidRDefault="00F207E8" w:rsidP="00F207E8">
            <w:pPr>
              <w:rPr>
                <w:rFonts w:cstheme="minorHAnsi"/>
                <w:i/>
                <w:iCs/>
              </w:rPr>
            </w:pPr>
          </w:p>
          <w:p w14:paraId="600DCBED" w14:textId="77777777" w:rsidR="00F207E8" w:rsidRPr="00093BE7" w:rsidRDefault="00F207E8" w:rsidP="00F207E8">
            <w:pPr>
              <w:rPr>
                <w:rFonts w:cstheme="minorHAnsi"/>
                <w:i/>
                <w:iCs/>
              </w:rPr>
            </w:pPr>
            <w:r w:rsidRPr="00093BE7">
              <w:rPr>
                <w:rFonts w:cstheme="minorHAnsi"/>
                <w:i/>
                <w:iCs/>
              </w:rPr>
              <w:t>Total service expenditure – column G</w:t>
            </w:r>
          </w:p>
          <w:p w14:paraId="0C5532F8" w14:textId="77777777" w:rsidR="00F207E8" w:rsidRPr="00093BE7" w:rsidRDefault="00F207E8" w:rsidP="00F207E8">
            <w:pPr>
              <w:rPr>
                <w:rFonts w:cstheme="minorHAnsi"/>
                <w:i/>
                <w:iCs/>
              </w:rPr>
            </w:pPr>
            <w:r w:rsidRPr="00093BE7">
              <w:rPr>
                <w:rFonts w:cstheme="minorHAnsi"/>
                <w:i/>
                <w:iCs/>
              </w:rPr>
              <w:t>Total un-ringfenced reserves – column AN</w:t>
            </w:r>
          </w:p>
          <w:p w14:paraId="3B910ED7" w14:textId="77777777" w:rsidR="00F207E8" w:rsidRPr="00093BE7" w:rsidRDefault="00F207E8" w:rsidP="00F207E8">
            <w:pPr>
              <w:rPr>
                <w:rFonts w:cstheme="minorHAnsi"/>
                <w:i/>
                <w:iCs/>
              </w:rPr>
            </w:pPr>
          </w:p>
          <w:p w14:paraId="46F3112B" w14:textId="77777777" w:rsidR="00F207E8" w:rsidRPr="00093BE7" w:rsidRDefault="00F207E8" w:rsidP="00F207E8">
            <w:pPr>
              <w:rPr>
                <w:rFonts w:cstheme="minorHAnsi"/>
              </w:rPr>
            </w:pPr>
            <w:r w:rsidRPr="00093BE7">
              <w:rPr>
                <w:rFonts w:cstheme="minorHAnsi"/>
              </w:rPr>
              <w:t>The HRA is excluded from Service Spend.</w:t>
            </w:r>
          </w:p>
        </w:tc>
      </w:tr>
      <w:tr w:rsidR="00093BE7" w:rsidRPr="00093BE7" w14:paraId="7BD4F7C3" w14:textId="77777777" w:rsidTr="00093BE7">
        <w:tc>
          <w:tcPr>
            <w:tcW w:w="1314" w:type="dxa"/>
            <w:tcBorders>
              <w:top w:val="single" w:sz="4" w:space="0" w:color="auto"/>
              <w:bottom w:val="single" w:sz="4" w:space="0" w:color="auto"/>
              <w:right w:val="single" w:sz="4" w:space="0" w:color="auto"/>
            </w:tcBorders>
          </w:tcPr>
          <w:p w14:paraId="232CD51F" w14:textId="274E7BFC" w:rsidR="00F207E8" w:rsidRPr="00093BE7" w:rsidRDefault="00F207E8" w:rsidP="00F207E8">
            <w:pPr>
              <w:rPr>
                <w:rFonts w:cstheme="minorHAnsi"/>
              </w:rPr>
            </w:pPr>
            <w:r w:rsidRPr="00093BE7">
              <w:rPr>
                <w:rFonts w:cstheme="minorHAnsi"/>
              </w:rPr>
              <w:t>2</w:t>
            </w:r>
            <w:r w:rsidR="00093BE7" w:rsidRPr="00093BE7">
              <w:rPr>
                <w:rFonts w:cstheme="minorHAnsi"/>
              </w:rPr>
              <w:t xml:space="preserve"> (2)</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09F8D5C4" w14:textId="106704EB" w:rsidR="00F207E8" w:rsidRPr="00093BE7" w:rsidRDefault="00F207E8" w:rsidP="00F207E8">
            <w:pPr>
              <w:rPr>
                <w:rFonts w:cstheme="minorHAnsi"/>
              </w:rPr>
            </w:pPr>
            <w:r w:rsidRPr="00093BE7">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A2D68F7" w14:textId="1ED097EE" w:rsidR="00F207E8" w:rsidRPr="00093BE7" w:rsidRDefault="00F207E8" w:rsidP="00F207E8">
            <w:pPr>
              <w:rPr>
                <w:rFonts w:cstheme="minorHAnsi"/>
              </w:rPr>
            </w:pPr>
            <w:r w:rsidRPr="00093BE7">
              <w:rPr>
                <w:rFonts w:cstheme="minorHAnsi"/>
                <w:color w:val="000000"/>
              </w:rPr>
              <w:t>140.95%</w:t>
            </w:r>
            <w:r w:rsidR="00093BE7" w:rsidRPr="00093BE7">
              <w:rPr>
                <w:rFonts w:cstheme="minorHAnsi"/>
                <w:color w:val="000000"/>
              </w:rPr>
              <w:t xml:space="preserve"> (188.8%)</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B209E61" w14:textId="6D970755" w:rsidR="00F207E8" w:rsidRPr="00093BE7" w:rsidRDefault="00F207E8" w:rsidP="00F207E8">
            <w:pPr>
              <w:rPr>
                <w:rFonts w:cstheme="minorHAnsi"/>
              </w:rPr>
            </w:pPr>
            <w:r w:rsidRPr="00093BE7">
              <w:rPr>
                <w:rFonts w:cstheme="minorHAnsi"/>
                <w:color w:val="000000"/>
              </w:rPr>
              <w:t>£14,970</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1D68B021" w14:textId="48AB5FE8" w:rsidR="00F207E8" w:rsidRPr="00093BE7" w:rsidRDefault="00F207E8" w:rsidP="00F207E8">
            <w:pPr>
              <w:rPr>
                <w:rFonts w:cstheme="minorHAnsi"/>
              </w:rPr>
            </w:pPr>
            <w:r w:rsidRPr="00093BE7">
              <w:rPr>
                <w:rFonts w:cstheme="minorHAnsi"/>
                <w:color w:val="000000"/>
              </w:rPr>
              <w:t>£21,100</w:t>
            </w:r>
          </w:p>
        </w:tc>
        <w:tc>
          <w:tcPr>
            <w:tcW w:w="1007" w:type="dxa"/>
            <w:vMerge/>
            <w:tcBorders>
              <w:top w:val="single" w:sz="4" w:space="0" w:color="auto"/>
              <w:left w:val="single" w:sz="4" w:space="0" w:color="auto"/>
              <w:bottom w:val="single" w:sz="4" w:space="0" w:color="auto"/>
              <w:right w:val="single" w:sz="4" w:space="0" w:color="auto"/>
            </w:tcBorders>
          </w:tcPr>
          <w:p w14:paraId="5439A101"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1E273FD" w14:textId="7AB74E63" w:rsidR="00F207E8" w:rsidRPr="00093BE7" w:rsidRDefault="00F207E8" w:rsidP="00F207E8">
            <w:pPr>
              <w:rPr>
                <w:rFonts w:cstheme="minorHAnsi"/>
              </w:rPr>
            </w:pPr>
            <w:r w:rsidRPr="00093BE7">
              <w:rPr>
                <w:rFonts w:cstheme="minorHAnsi"/>
              </w:rPr>
              <w:t>6</w:t>
            </w:r>
            <w:r w:rsidR="00093BE7" w:rsidRPr="00093BE7">
              <w:rPr>
                <w:rFonts w:cstheme="minorHAnsi"/>
              </w:rPr>
              <w:t xml:space="preserve"> (8)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7887579" w14:textId="79571B61" w:rsidR="00F207E8" w:rsidRPr="00093BE7" w:rsidRDefault="00F207E8" w:rsidP="00F207E8">
            <w:pPr>
              <w:rPr>
                <w:rFonts w:cstheme="minorHAnsi"/>
              </w:rPr>
            </w:pPr>
            <w:r w:rsidRPr="00093BE7">
              <w:rPr>
                <w:rFonts w:cstheme="minorHAnsi"/>
                <w:color w:val="000000"/>
              </w:rPr>
              <w:t>71</w:t>
            </w:r>
          </w:p>
        </w:tc>
        <w:tc>
          <w:tcPr>
            <w:tcW w:w="3104" w:type="dxa"/>
            <w:vMerge/>
            <w:tcBorders>
              <w:top w:val="single" w:sz="4" w:space="0" w:color="auto"/>
              <w:left w:val="single" w:sz="4" w:space="0" w:color="auto"/>
              <w:bottom w:val="single" w:sz="4" w:space="0" w:color="auto"/>
              <w:right w:val="single" w:sz="4" w:space="0" w:color="auto"/>
            </w:tcBorders>
          </w:tcPr>
          <w:p w14:paraId="390F5E27"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1D9BC4AE" w14:textId="77777777" w:rsidR="00F207E8" w:rsidRPr="00093BE7" w:rsidRDefault="00F207E8" w:rsidP="00F207E8">
            <w:pPr>
              <w:rPr>
                <w:rFonts w:cstheme="minorHAnsi"/>
              </w:rPr>
            </w:pPr>
          </w:p>
        </w:tc>
      </w:tr>
      <w:tr w:rsidR="00093BE7" w:rsidRPr="00093BE7" w14:paraId="70BA494E" w14:textId="77777777" w:rsidTr="00093BE7">
        <w:tc>
          <w:tcPr>
            <w:tcW w:w="1314" w:type="dxa"/>
            <w:tcBorders>
              <w:top w:val="single" w:sz="4" w:space="0" w:color="auto"/>
              <w:bottom w:val="single" w:sz="4" w:space="0" w:color="auto"/>
              <w:right w:val="single" w:sz="4" w:space="0" w:color="auto"/>
            </w:tcBorders>
          </w:tcPr>
          <w:p w14:paraId="3431E8A7" w14:textId="2FA9E140" w:rsidR="00F207E8" w:rsidRPr="00093BE7" w:rsidRDefault="00F207E8" w:rsidP="00F207E8">
            <w:pPr>
              <w:rPr>
                <w:rFonts w:cstheme="minorHAnsi"/>
              </w:rPr>
            </w:pPr>
            <w:r w:rsidRPr="00093BE7">
              <w:rPr>
                <w:rFonts w:cstheme="minorHAnsi"/>
              </w:rPr>
              <w:t>3</w:t>
            </w:r>
            <w:r w:rsidR="00093BE7" w:rsidRPr="00093BE7">
              <w:rPr>
                <w:rFonts w:cstheme="minorHAnsi"/>
              </w:rPr>
              <w:t xml:space="preserve"> (1`)</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79B72F66" w14:textId="5B3474F3" w:rsidR="00F207E8" w:rsidRPr="00093BE7" w:rsidRDefault="00F207E8" w:rsidP="00F207E8">
            <w:pPr>
              <w:rPr>
                <w:rFonts w:cstheme="minorHAnsi"/>
              </w:rPr>
            </w:pPr>
            <w:r w:rsidRPr="00093BE7">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3A24901" w14:textId="6C54FE16" w:rsidR="00F207E8" w:rsidRPr="00093BE7" w:rsidRDefault="00F207E8" w:rsidP="00F207E8">
            <w:pPr>
              <w:rPr>
                <w:rFonts w:cstheme="minorHAnsi"/>
              </w:rPr>
            </w:pPr>
            <w:r w:rsidRPr="00093BE7">
              <w:rPr>
                <w:rFonts w:cstheme="minorHAnsi"/>
                <w:color w:val="000000"/>
              </w:rPr>
              <w:t>124.36%</w:t>
            </w:r>
            <w:r w:rsidR="00093BE7" w:rsidRPr="00093BE7">
              <w:rPr>
                <w:rFonts w:cstheme="minorHAnsi"/>
                <w:color w:val="000000"/>
              </w:rPr>
              <w:t xml:space="preserve"> (263.9%)</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3D7630A" w14:textId="5601466F" w:rsidR="00F207E8" w:rsidRPr="00093BE7" w:rsidRDefault="00F207E8" w:rsidP="00F207E8">
            <w:pPr>
              <w:rPr>
                <w:rFonts w:cstheme="minorHAnsi"/>
              </w:rPr>
            </w:pPr>
            <w:r w:rsidRPr="00093BE7">
              <w:rPr>
                <w:rFonts w:cstheme="minorHAnsi"/>
                <w:color w:val="000000"/>
              </w:rPr>
              <w:t>£12,386</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8FF2888" w14:textId="670BBF00" w:rsidR="00F207E8" w:rsidRPr="00093BE7" w:rsidRDefault="00F207E8" w:rsidP="00F207E8">
            <w:pPr>
              <w:rPr>
                <w:rFonts w:cstheme="minorHAnsi"/>
              </w:rPr>
            </w:pPr>
            <w:r w:rsidRPr="00093BE7">
              <w:rPr>
                <w:rFonts w:cstheme="minorHAnsi"/>
                <w:color w:val="000000"/>
              </w:rPr>
              <w:t>£15,403</w:t>
            </w:r>
          </w:p>
        </w:tc>
        <w:tc>
          <w:tcPr>
            <w:tcW w:w="1007" w:type="dxa"/>
            <w:vMerge/>
            <w:tcBorders>
              <w:top w:val="single" w:sz="4" w:space="0" w:color="auto"/>
              <w:left w:val="single" w:sz="4" w:space="0" w:color="auto"/>
              <w:bottom w:val="single" w:sz="4" w:space="0" w:color="auto"/>
              <w:right w:val="single" w:sz="4" w:space="0" w:color="auto"/>
            </w:tcBorders>
          </w:tcPr>
          <w:p w14:paraId="6FC2E88F"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360993B" w14:textId="2AC274E8" w:rsidR="00F207E8" w:rsidRPr="00093BE7" w:rsidRDefault="00F207E8" w:rsidP="00F207E8">
            <w:pPr>
              <w:rPr>
                <w:rFonts w:cstheme="minorHAnsi"/>
              </w:rPr>
            </w:pPr>
            <w:r w:rsidRPr="00093BE7">
              <w:rPr>
                <w:rFonts w:cstheme="minorHAnsi"/>
              </w:rPr>
              <w:t>6</w:t>
            </w:r>
            <w:r w:rsidR="00093BE7" w:rsidRPr="00093BE7">
              <w:rPr>
                <w:rFonts w:cstheme="minorHAnsi"/>
              </w:rPr>
              <w:t xml:space="preserve"> (9)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BE339D6" w14:textId="1DC24DA7" w:rsidR="00F207E8" w:rsidRPr="00093BE7" w:rsidRDefault="00F207E8" w:rsidP="00F207E8">
            <w:pPr>
              <w:rPr>
                <w:rFonts w:cstheme="minorHAnsi"/>
              </w:rPr>
            </w:pPr>
            <w:r w:rsidRPr="00093BE7">
              <w:rPr>
                <w:rFonts w:cstheme="minorHAnsi"/>
                <w:color w:val="000000"/>
              </w:rPr>
              <w:t>87</w:t>
            </w:r>
          </w:p>
        </w:tc>
        <w:tc>
          <w:tcPr>
            <w:tcW w:w="3104" w:type="dxa"/>
            <w:vMerge/>
            <w:tcBorders>
              <w:top w:val="single" w:sz="4" w:space="0" w:color="auto"/>
              <w:left w:val="single" w:sz="4" w:space="0" w:color="auto"/>
              <w:bottom w:val="single" w:sz="4" w:space="0" w:color="auto"/>
              <w:right w:val="single" w:sz="4" w:space="0" w:color="auto"/>
            </w:tcBorders>
          </w:tcPr>
          <w:p w14:paraId="672E9291"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00B9BDFD" w14:textId="77777777" w:rsidR="00F207E8" w:rsidRPr="00093BE7" w:rsidRDefault="00F207E8" w:rsidP="00F207E8">
            <w:pPr>
              <w:rPr>
                <w:rFonts w:cstheme="minorHAnsi"/>
              </w:rPr>
            </w:pPr>
          </w:p>
        </w:tc>
      </w:tr>
      <w:tr w:rsidR="00093BE7" w:rsidRPr="00093BE7" w14:paraId="37E619B9" w14:textId="77777777" w:rsidTr="00093BE7">
        <w:tc>
          <w:tcPr>
            <w:tcW w:w="1314" w:type="dxa"/>
            <w:tcBorders>
              <w:top w:val="single" w:sz="4" w:space="0" w:color="auto"/>
              <w:bottom w:val="single" w:sz="4" w:space="0" w:color="auto"/>
              <w:right w:val="single" w:sz="4" w:space="0" w:color="auto"/>
            </w:tcBorders>
          </w:tcPr>
          <w:p w14:paraId="359B3098" w14:textId="54A55EDC" w:rsidR="00F207E8" w:rsidRPr="00093BE7" w:rsidRDefault="00F207E8" w:rsidP="00F207E8">
            <w:pPr>
              <w:rPr>
                <w:rFonts w:cstheme="minorHAnsi"/>
              </w:rPr>
            </w:pPr>
            <w:r w:rsidRPr="00093BE7">
              <w:rPr>
                <w:rFonts w:cstheme="minorHAnsi"/>
              </w:rPr>
              <w:t>4</w:t>
            </w:r>
            <w:r w:rsidR="00093BE7" w:rsidRPr="00093BE7">
              <w:rPr>
                <w:rFonts w:cstheme="minorHAnsi"/>
              </w:rPr>
              <w:t xml:space="preserve"> (4)</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DA414F5" w14:textId="0677765B" w:rsidR="00F207E8" w:rsidRPr="00093BE7" w:rsidRDefault="00F207E8" w:rsidP="00F207E8">
            <w:pPr>
              <w:rPr>
                <w:rFonts w:cstheme="minorHAnsi"/>
              </w:rPr>
            </w:pPr>
            <w:r w:rsidRPr="00093BE7">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AC4B766" w14:textId="0302FF63" w:rsidR="00F207E8" w:rsidRPr="00093BE7" w:rsidRDefault="00F207E8" w:rsidP="00F207E8">
            <w:pPr>
              <w:rPr>
                <w:rFonts w:cstheme="minorHAnsi"/>
              </w:rPr>
            </w:pPr>
            <w:r w:rsidRPr="00093BE7">
              <w:rPr>
                <w:rFonts w:cstheme="minorHAnsi"/>
                <w:color w:val="000000"/>
              </w:rPr>
              <w:t>122.04%</w:t>
            </w:r>
            <w:r w:rsidR="00093BE7" w:rsidRPr="00093BE7">
              <w:rPr>
                <w:rFonts w:cstheme="minorHAnsi"/>
                <w:color w:val="000000"/>
              </w:rPr>
              <w:t xml:space="preserve"> (117.3%)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7BC86F8" w14:textId="207523D5" w:rsidR="00F207E8" w:rsidRPr="00093BE7" w:rsidRDefault="00F207E8" w:rsidP="00F207E8">
            <w:pPr>
              <w:rPr>
                <w:rFonts w:cstheme="minorHAnsi"/>
              </w:rPr>
            </w:pPr>
            <w:r w:rsidRPr="00093BE7">
              <w:rPr>
                <w:rFonts w:cstheme="minorHAnsi"/>
                <w:color w:val="000000"/>
              </w:rPr>
              <w:t>£15411</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6929371" w14:textId="3C8575FA" w:rsidR="00F207E8" w:rsidRPr="00093BE7" w:rsidRDefault="00F207E8" w:rsidP="00F207E8">
            <w:pPr>
              <w:rPr>
                <w:rFonts w:cstheme="minorHAnsi"/>
              </w:rPr>
            </w:pPr>
            <w:r w:rsidRPr="00093BE7">
              <w:rPr>
                <w:rFonts w:cstheme="minorHAnsi"/>
                <w:color w:val="000000"/>
              </w:rPr>
              <w:t>£18,807</w:t>
            </w:r>
          </w:p>
        </w:tc>
        <w:tc>
          <w:tcPr>
            <w:tcW w:w="1007" w:type="dxa"/>
            <w:vMerge/>
            <w:tcBorders>
              <w:top w:val="single" w:sz="4" w:space="0" w:color="auto"/>
              <w:left w:val="single" w:sz="4" w:space="0" w:color="auto"/>
              <w:bottom w:val="single" w:sz="4" w:space="0" w:color="auto"/>
              <w:right w:val="single" w:sz="4" w:space="0" w:color="auto"/>
            </w:tcBorders>
          </w:tcPr>
          <w:p w14:paraId="402F0422"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66BE5B06" w14:textId="5528DF83" w:rsidR="00F207E8" w:rsidRPr="00093BE7" w:rsidRDefault="00F207E8" w:rsidP="00F207E8">
            <w:pPr>
              <w:rPr>
                <w:rFonts w:cstheme="minorHAnsi"/>
              </w:rPr>
            </w:pPr>
            <w:r w:rsidRPr="00093BE7">
              <w:rPr>
                <w:rFonts w:cstheme="minorHAnsi"/>
              </w:rPr>
              <w:t>5</w:t>
            </w:r>
            <w:r w:rsidR="00093BE7" w:rsidRPr="00093BE7">
              <w:rPr>
                <w:rFonts w:cstheme="minorHAnsi"/>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FB6EABE" w14:textId="4229CB6C" w:rsidR="00F207E8" w:rsidRPr="00093BE7" w:rsidRDefault="00F207E8" w:rsidP="00F207E8">
            <w:pPr>
              <w:rPr>
                <w:rFonts w:cstheme="minorHAnsi"/>
              </w:rPr>
            </w:pPr>
            <w:r w:rsidRPr="00093BE7">
              <w:rPr>
                <w:rFonts w:cstheme="minorHAnsi"/>
                <w:color w:val="000000"/>
              </w:rPr>
              <w:t>90</w:t>
            </w:r>
          </w:p>
        </w:tc>
        <w:tc>
          <w:tcPr>
            <w:tcW w:w="3104" w:type="dxa"/>
            <w:vMerge/>
            <w:tcBorders>
              <w:top w:val="single" w:sz="4" w:space="0" w:color="auto"/>
              <w:left w:val="single" w:sz="4" w:space="0" w:color="auto"/>
              <w:bottom w:val="single" w:sz="4" w:space="0" w:color="auto"/>
              <w:right w:val="single" w:sz="4" w:space="0" w:color="auto"/>
            </w:tcBorders>
          </w:tcPr>
          <w:p w14:paraId="175854A4"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32B3D459" w14:textId="77777777" w:rsidR="00F207E8" w:rsidRPr="00093BE7" w:rsidRDefault="00F207E8" w:rsidP="00F207E8">
            <w:pPr>
              <w:rPr>
                <w:rFonts w:cstheme="minorHAnsi"/>
              </w:rPr>
            </w:pPr>
          </w:p>
        </w:tc>
      </w:tr>
      <w:tr w:rsidR="00093BE7" w:rsidRPr="00093BE7" w14:paraId="56769AFD" w14:textId="77777777" w:rsidTr="00093BE7">
        <w:tc>
          <w:tcPr>
            <w:tcW w:w="1314" w:type="dxa"/>
            <w:tcBorders>
              <w:top w:val="single" w:sz="4" w:space="0" w:color="auto"/>
              <w:bottom w:val="single" w:sz="4" w:space="0" w:color="auto"/>
              <w:right w:val="single" w:sz="4" w:space="0" w:color="auto"/>
            </w:tcBorders>
          </w:tcPr>
          <w:p w14:paraId="11759B50" w14:textId="4ED12DAC" w:rsidR="00F207E8" w:rsidRPr="00093BE7" w:rsidRDefault="00F207E8" w:rsidP="00F207E8">
            <w:pPr>
              <w:rPr>
                <w:rFonts w:cstheme="minorHAnsi"/>
              </w:rPr>
            </w:pPr>
            <w:r w:rsidRPr="00093BE7">
              <w:rPr>
                <w:rFonts w:cstheme="minorHAnsi"/>
              </w:rPr>
              <w:t>5</w:t>
            </w:r>
            <w:r w:rsidR="00093BE7" w:rsidRPr="00093BE7">
              <w:rPr>
                <w:rFonts w:cstheme="minorHAnsi"/>
              </w:rPr>
              <w:t xml:space="preserve"> (5)</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67D3FC04" w14:textId="30044000" w:rsidR="00F207E8" w:rsidRPr="00093BE7" w:rsidRDefault="00F207E8" w:rsidP="00F207E8">
            <w:pPr>
              <w:rPr>
                <w:rFonts w:cstheme="minorHAnsi"/>
              </w:rPr>
            </w:pPr>
            <w:r w:rsidRPr="00093BE7">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A7808E2" w14:textId="3CB32116" w:rsidR="00F207E8" w:rsidRPr="00093BE7" w:rsidRDefault="00F207E8" w:rsidP="00F207E8">
            <w:pPr>
              <w:rPr>
                <w:rFonts w:cstheme="minorHAnsi"/>
              </w:rPr>
            </w:pPr>
            <w:r w:rsidRPr="00093BE7">
              <w:rPr>
                <w:rFonts w:cstheme="minorHAnsi"/>
                <w:color w:val="000000"/>
              </w:rPr>
              <w:t>98.71%</w:t>
            </w:r>
            <w:r w:rsidR="00093BE7" w:rsidRPr="00093BE7">
              <w:rPr>
                <w:rFonts w:cstheme="minorHAnsi"/>
                <w:color w:val="000000"/>
              </w:rPr>
              <w:t xml:space="preserve"> (102.4%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9F9A15C" w14:textId="09F7E239" w:rsidR="00F207E8" w:rsidRPr="00093BE7" w:rsidRDefault="00F207E8" w:rsidP="00F207E8">
            <w:pPr>
              <w:rPr>
                <w:rFonts w:cstheme="minorHAnsi"/>
              </w:rPr>
            </w:pPr>
            <w:r w:rsidRPr="00093BE7">
              <w:rPr>
                <w:rFonts w:cstheme="minorHAnsi"/>
                <w:color w:val="000000"/>
              </w:rPr>
              <w:t>£26,958</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8B04FC3" w14:textId="000AE1CF" w:rsidR="00F207E8" w:rsidRPr="00093BE7" w:rsidRDefault="00F207E8" w:rsidP="00F207E8">
            <w:pPr>
              <w:rPr>
                <w:rFonts w:cstheme="minorHAnsi"/>
              </w:rPr>
            </w:pPr>
            <w:r w:rsidRPr="00093BE7">
              <w:rPr>
                <w:rFonts w:cstheme="minorHAnsi"/>
                <w:color w:val="000000"/>
              </w:rPr>
              <w:t>£26,609</w:t>
            </w:r>
          </w:p>
        </w:tc>
        <w:tc>
          <w:tcPr>
            <w:tcW w:w="1007" w:type="dxa"/>
            <w:vMerge/>
            <w:tcBorders>
              <w:top w:val="single" w:sz="4" w:space="0" w:color="auto"/>
              <w:left w:val="single" w:sz="4" w:space="0" w:color="auto"/>
              <w:bottom w:val="single" w:sz="4" w:space="0" w:color="auto"/>
              <w:right w:val="single" w:sz="4" w:space="0" w:color="auto"/>
            </w:tcBorders>
          </w:tcPr>
          <w:p w14:paraId="1EF0EA19"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1B51771C" w14:textId="3A893F53" w:rsidR="00F207E8" w:rsidRPr="00093BE7" w:rsidRDefault="00F207E8" w:rsidP="00F207E8">
            <w:pPr>
              <w:rPr>
                <w:rFonts w:cstheme="minorHAnsi"/>
              </w:rPr>
            </w:pPr>
            <w:r w:rsidRPr="00093BE7">
              <w:rPr>
                <w:rFonts w:cstheme="minorHAnsi"/>
              </w:rPr>
              <w:t>4</w:t>
            </w:r>
            <w:r w:rsidR="00093BE7" w:rsidRPr="00093BE7">
              <w:rPr>
                <w:rFonts w:cstheme="minorHAnsi"/>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F531F3A" w14:textId="586DBA36" w:rsidR="00F207E8" w:rsidRPr="00093BE7" w:rsidRDefault="00F207E8" w:rsidP="00F207E8">
            <w:pPr>
              <w:rPr>
                <w:rFonts w:cstheme="minorHAnsi"/>
              </w:rPr>
            </w:pPr>
            <w:r w:rsidRPr="00093BE7">
              <w:rPr>
                <w:rFonts w:cstheme="minorHAnsi"/>
                <w:color w:val="000000"/>
              </w:rPr>
              <w:t>118</w:t>
            </w:r>
          </w:p>
        </w:tc>
        <w:tc>
          <w:tcPr>
            <w:tcW w:w="3104" w:type="dxa"/>
            <w:vMerge/>
            <w:tcBorders>
              <w:top w:val="single" w:sz="4" w:space="0" w:color="auto"/>
              <w:left w:val="single" w:sz="4" w:space="0" w:color="auto"/>
              <w:bottom w:val="single" w:sz="4" w:space="0" w:color="auto"/>
              <w:right w:val="single" w:sz="4" w:space="0" w:color="auto"/>
            </w:tcBorders>
          </w:tcPr>
          <w:p w14:paraId="52E1B46F"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37D3E14A" w14:textId="77777777" w:rsidR="00F207E8" w:rsidRPr="00093BE7" w:rsidRDefault="00F207E8" w:rsidP="00F207E8">
            <w:pPr>
              <w:rPr>
                <w:rFonts w:cstheme="minorHAnsi"/>
              </w:rPr>
            </w:pPr>
          </w:p>
        </w:tc>
      </w:tr>
      <w:tr w:rsidR="00093BE7" w:rsidRPr="00093BE7" w14:paraId="32ED30C6" w14:textId="77777777" w:rsidTr="00093BE7">
        <w:tc>
          <w:tcPr>
            <w:tcW w:w="1314" w:type="dxa"/>
            <w:tcBorders>
              <w:top w:val="single" w:sz="4" w:space="0" w:color="auto"/>
              <w:bottom w:val="single" w:sz="4" w:space="0" w:color="auto"/>
              <w:right w:val="single" w:sz="4" w:space="0" w:color="auto"/>
            </w:tcBorders>
          </w:tcPr>
          <w:p w14:paraId="1F24C436" w14:textId="3748F80E" w:rsidR="00F207E8" w:rsidRPr="00093BE7" w:rsidRDefault="00F207E8" w:rsidP="00F207E8">
            <w:pPr>
              <w:rPr>
                <w:rFonts w:cstheme="minorHAnsi"/>
              </w:rPr>
            </w:pPr>
            <w:r w:rsidRPr="00093BE7">
              <w:rPr>
                <w:rFonts w:cstheme="minorHAnsi"/>
              </w:rPr>
              <w:t>6</w:t>
            </w:r>
            <w:r w:rsidR="00093BE7" w:rsidRPr="00093BE7">
              <w:rPr>
                <w:rFonts w:cstheme="minorHAnsi"/>
              </w:rPr>
              <w:t xml:space="preserve"> (6)</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60881F76" w14:textId="2E1809A8" w:rsidR="00F207E8" w:rsidRPr="00093BE7" w:rsidRDefault="00F207E8" w:rsidP="00F207E8">
            <w:pPr>
              <w:rPr>
                <w:rFonts w:cstheme="minorHAnsi"/>
              </w:rPr>
            </w:pPr>
            <w:r w:rsidRPr="00093BE7">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12BD585" w14:textId="11BB34E2" w:rsidR="00F207E8" w:rsidRPr="00093BE7" w:rsidRDefault="00F207E8" w:rsidP="00F207E8">
            <w:pPr>
              <w:rPr>
                <w:rFonts w:cstheme="minorHAnsi"/>
              </w:rPr>
            </w:pPr>
            <w:r w:rsidRPr="00093BE7">
              <w:rPr>
                <w:rFonts w:cstheme="minorHAnsi"/>
                <w:color w:val="000000"/>
              </w:rPr>
              <w:t>55.15%</w:t>
            </w:r>
            <w:r w:rsidR="00093BE7" w:rsidRPr="00093BE7">
              <w:rPr>
                <w:rFonts w:cstheme="minorHAnsi"/>
                <w:color w:val="000000"/>
              </w:rPr>
              <w:t xml:space="preserve"> (67.5%)</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9AB3F7B" w14:textId="05AE6CA4" w:rsidR="00F207E8" w:rsidRPr="00093BE7" w:rsidRDefault="00F207E8" w:rsidP="00F207E8">
            <w:pPr>
              <w:rPr>
                <w:rFonts w:cstheme="minorHAnsi"/>
              </w:rPr>
            </w:pPr>
            <w:r w:rsidRPr="00093BE7">
              <w:rPr>
                <w:rFonts w:cstheme="minorHAnsi"/>
                <w:color w:val="000000"/>
              </w:rPr>
              <w:t>£19,819</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69AF4EA9" w14:textId="0E9833E0" w:rsidR="00F207E8" w:rsidRPr="00093BE7" w:rsidRDefault="00F207E8" w:rsidP="00F207E8">
            <w:pPr>
              <w:rPr>
                <w:rFonts w:cstheme="minorHAnsi"/>
              </w:rPr>
            </w:pPr>
            <w:r w:rsidRPr="00093BE7">
              <w:rPr>
                <w:rFonts w:cstheme="minorHAnsi"/>
                <w:color w:val="000000"/>
              </w:rPr>
              <w:t>£10,931</w:t>
            </w:r>
          </w:p>
        </w:tc>
        <w:tc>
          <w:tcPr>
            <w:tcW w:w="1007" w:type="dxa"/>
            <w:vMerge/>
            <w:tcBorders>
              <w:top w:val="single" w:sz="4" w:space="0" w:color="auto"/>
              <w:left w:val="single" w:sz="4" w:space="0" w:color="auto"/>
              <w:bottom w:val="single" w:sz="4" w:space="0" w:color="auto"/>
              <w:right w:val="single" w:sz="4" w:space="0" w:color="auto"/>
            </w:tcBorders>
          </w:tcPr>
          <w:p w14:paraId="0569A8B4"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179A5CE" w14:textId="60E15C0B" w:rsidR="00F207E8" w:rsidRPr="00093BE7" w:rsidRDefault="00F207E8" w:rsidP="00F207E8">
            <w:pPr>
              <w:rPr>
                <w:rFonts w:cstheme="minorHAnsi"/>
              </w:rPr>
            </w:pPr>
            <w:r w:rsidRPr="00093BE7">
              <w:rPr>
                <w:rFonts w:cstheme="minorHAnsi"/>
              </w:rPr>
              <w:t>2</w:t>
            </w:r>
            <w:r w:rsidR="00093BE7" w:rsidRPr="00093BE7">
              <w:rPr>
                <w:rFonts w:cstheme="minorHAnsi"/>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2DAB450" w14:textId="048D8A81" w:rsidR="00F207E8" w:rsidRPr="00093BE7" w:rsidRDefault="00F207E8" w:rsidP="00F207E8">
            <w:pPr>
              <w:rPr>
                <w:rFonts w:cstheme="minorHAnsi"/>
              </w:rPr>
            </w:pPr>
            <w:r w:rsidRPr="00093BE7">
              <w:rPr>
                <w:rFonts w:cstheme="minorHAnsi"/>
                <w:color w:val="000000"/>
              </w:rPr>
              <w:t>157</w:t>
            </w:r>
          </w:p>
        </w:tc>
        <w:tc>
          <w:tcPr>
            <w:tcW w:w="3104" w:type="dxa"/>
            <w:vMerge/>
            <w:tcBorders>
              <w:top w:val="single" w:sz="4" w:space="0" w:color="auto"/>
              <w:left w:val="single" w:sz="4" w:space="0" w:color="auto"/>
              <w:bottom w:val="single" w:sz="4" w:space="0" w:color="auto"/>
              <w:right w:val="single" w:sz="4" w:space="0" w:color="auto"/>
            </w:tcBorders>
          </w:tcPr>
          <w:p w14:paraId="4B445128"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16EA3B2F" w14:textId="77777777" w:rsidR="00F207E8" w:rsidRPr="00093BE7" w:rsidRDefault="00F207E8" w:rsidP="00F207E8">
            <w:pPr>
              <w:rPr>
                <w:rFonts w:cstheme="minorHAnsi"/>
              </w:rPr>
            </w:pPr>
          </w:p>
        </w:tc>
      </w:tr>
      <w:tr w:rsidR="00093BE7" w:rsidRPr="00093BE7" w14:paraId="5EF2D248" w14:textId="77777777" w:rsidTr="00093BE7">
        <w:tc>
          <w:tcPr>
            <w:tcW w:w="1314" w:type="dxa"/>
            <w:tcBorders>
              <w:top w:val="single" w:sz="4" w:space="0" w:color="auto"/>
              <w:bottom w:val="single" w:sz="4" w:space="0" w:color="auto"/>
              <w:right w:val="single" w:sz="4" w:space="0" w:color="auto"/>
            </w:tcBorders>
          </w:tcPr>
          <w:p w14:paraId="5074E655" w14:textId="47DC68F6" w:rsidR="00F207E8" w:rsidRPr="00093BE7" w:rsidRDefault="00F207E8" w:rsidP="00F207E8">
            <w:pPr>
              <w:rPr>
                <w:rFonts w:cstheme="minorHAnsi"/>
              </w:rPr>
            </w:pPr>
            <w:r w:rsidRPr="00093BE7">
              <w:rPr>
                <w:rFonts w:cstheme="minorHAnsi"/>
              </w:rPr>
              <w:t>7</w:t>
            </w:r>
            <w:r w:rsidR="00093BE7" w:rsidRPr="00093BE7">
              <w:rPr>
                <w:rFonts w:cstheme="minorHAnsi"/>
              </w:rPr>
              <w:t xml:space="preserve"> (7)</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2FB532E1" w14:textId="6B373AB6" w:rsidR="00F207E8" w:rsidRPr="00093BE7" w:rsidRDefault="00F207E8" w:rsidP="00F207E8">
            <w:pPr>
              <w:rPr>
                <w:rFonts w:cstheme="minorHAnsi"/>
              </w:rPr>
            </w:pPr>
            <w:r w:rsidRPr="00093BE7">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56DC012" w14:textId="72F333B6" w:rsidR="00F207E8" w:rsidRPr="00093BE7" w:rsidRDefault="00F207E8" w:rsidP="00F207E8">
            <w:pPr>
              <w:rPr>
                <w:rFonts w:cstheme="minorHAnsi"/>
              </w:rPr>
            </w:pPr>
            <w:r w:rsidRPr="00093BE7">
              <w:rPr>
                <w:rFonts w:cstheme="minorHAnsi"/>
                <w:color w:val="000000"/>
              </w:rPr>
              <w:t>46.02%</w:t>
            </w:r>
            <w:r w:rsidR="00093BE7" w:rsidRPr="00093BE7">
              <w:rPr>
                <w:rFonts w:cstheme="minorHAnsi"/>
                <w:color w:val="000000"/>
              </w:rPr>
              <w:t xml:space="preserve"> (22.7%)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E6E66AD" w14:textId="0F8A9172" w:rsidR="00F207E8" w:rsidRPr="00093BE7" w:rsidRDefault="00F207E8" w:rsidP="00F207E8">
            <w:pPr>
              <w:rPr>
                <w:rFonts w:cstheme="minorHAnsi"/>
              </w:rPr>
            </w:pPr>
            <w:r w:rsidRPr="00093BE7">
              <w:rPr>
                <w:rFonts w:cstheme="minorHAnsi"/>
                <w:color w:val="000000"/>
              </w:rPr>
              <w:t>£12,298</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1C65E985" w14:textId="51FA68ED" w:rsidR="00F207E8" w:rsidRPr="00093BE7" w:rsidRDefault="00F207E8" w:rsidP="00F207E8">
            <w:pPr>
              <w:rPr>
                <w:rFonts w:cstheme="minorHAnsi"/>
              </w:rPr>
            </w:pPr>
            <w:r w:rsidRPr="00093BE7">
              <w:rPr>
                <w:rFonts w:cstheme="minorHAnsi"/>
                <w:color w:val="000000"/>
              </w:rPr>
              <w:t>£5,660</w:t>
            </w:r>
          </w:p>
        </w:tc>
        <w:tc>
          <w:tcPr>
            <w:tcW w:w="1007" w:type="dxa"/>
            <w:vMerge/>
            <w:tcBorders>
              <w:top w:val="single" w:sz="4" w:space="0" w:color="auto"/>
              <w:left w:val="single" w:sz="4" w:space="0" w:color="auto"/>
              <w:bottom w:val="single" w:sz="4" w:space="0" w:color="auto"/>
              <w:right w:val="single" w:sz="4" w:space="0" w:color="auto"/>
            </w:tcBorders>
          </w:tcPr>
          <w:p w14:paraId="0CBC51BC" w14:textId="77777777" w:rsidR="00F207E8" w:rsidRPr="00093BE7" w:rsidRDefault="00F207E8" w:rsidP="00F207E8">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F98588A" w14:textId="64E5BDF8" w:rsidR="00F207E8" w:rsidRPr="00093BE7" w:rsidRDefault="00F207E8" w:rsidP="00F207E8">
            <w:pPr>
              <w:rPr>
                <w:rFonts w:cstheme="minorHAnsi"/>
              </w:rPr>
            </w:pPr>
            <w:r w:rsidRPr="00093BE7">
              <w:rPr>
                <w:rFonts w:cstheme="minorHAnsi"/>
              </w:rPr>
              <w:t>1</w:t>
            </w:r>
            <w:r w:rsidR="00093BE7" w:rsidRPr="00093BE7">
              <w:rPr>
                <w:rFonts w:cstheme="minorHAnsi"/>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289654D" w14:textId="45072505" w:rsidR="00F207E8" w:rsidRPr="00093BE7" w:rsidRDefault="00F207E8" w:rsidP="00F207E8">
            <w:pPr>
              <w:rPr>
                <w:rFonts w:cstheme="minorHAnsi"/>
              </w:rPr>
            </w:pPr>
            <w:r w:rsidRPr="00093BE7">
              <w:rPr>
                <w:rFonts w:cstheme="minorHAnsi"/>
                <w:color w:val="000000"/>
              </w:rPr>
              <w:t>162</w:t>
            </w:r>
          </w:p>
        </w:tc>
        <w:tc>
          <w:tcPr>
            <w:tcW w:w="3104" w:type="dxa"/>
            <w:vMerge/>
            <w:tcBorders>
              <w:top w:val="single" w:sz="4" w:space="0" w:color="auto"/>
              <w:left w:val="single" w:sz="4" w:space="0" w:color="auto"/>
              <w:bottom w:val="single" w:sz="4" w:space="0" w:color="auto"/>
              <w:right w:val="single" w:sz="4" w:space="0" w:color="auto"/>
            </w:tcBorders>
          </w:tcPr>
          <w:p w14:paraId="6BFFF32B" w14:textId="77777777" w:rsidR="00F207E8" w:rsidRPr="00093BE7" w:rsidRDefault="00F207E8" w:rsidP="00F207E8">
            <w:pPr>
              <w:rPr>
                <w:rFonts w:cstheme="minorHAnsi"/>
              </w:rPr>
            </w:pPr>
          </w:p>
        </w:tc>
        <w:tc>
          <w:tcPr>
            <w:tcW w:w="4908" w:type="dxa"/>
            <w:vMerge/>
            <w:tcBorders>
              <w:top w:val="single" w:sz="4" w:space="0" w:color="auto"/>
              <w:left w:val="single" w:sz="4" w:space="0" w:color="auto"/>
              <w:bottom w:val="single" w:sz="4" w:space="0" w:color="auto"/>
            </w:tcBorders>
          </w:tcPr>
          <w:p w14:paraId="55209B4E" w14:textId="77777777" w:rsidR="00F207E8" w:rsidRPr="00093BE7" w:rsidRDefault="00F207E8" w:rsidP="00F207E8">
            <w:pPr>
              <w:rPr>
                <w:rFonts w:cstheme="minorHAnsi"/>
              </w:rPr>
            </w:pPr>
          </w:p>
        </w:tc>
      </w:tr>
    </w:tbl>
    <w:p w14:paraId="0B7ABB92" w14:textId="77777777" w:rsidR="005459BB" w:rsidRDefault="005459BB"/>
    <w:p w14:paraId="49D69A14" w14:textId="77777777" w:rsidR="00CF273D" w:rsidRDefault="00CF273D"/>
    <w:p w14:paraId="1C47794E" w14:textId="77777777" w:rsidR="00CF273D" w:rsidRDefault="00CF273D"/>
    <w:p w14:paraId="55998247" w14:textId="77777777" w:rsidR="00CF273D" w:rsidRDefault="00CF273D"/>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104"/>
        <w:gridCol w:w="4908"/>
      </w:tblGrid>
      <w:tr w:rsidR="00CF273D" w14:paraId="2350A686" w14:textId="77777777" w:rsidTr="005857FD">
        <w:tc>
          <w:tcPr>
            <w:tcW w:w="20921" w:type="dxa"/>
            <w:gridSpan w:val="10"/>
          </w:tcPr>
          <w:p w14:paraId="0DF8F80C" w14:textId="77777777" w:rsidR="00CF273D" w:rsidRPr="008855E6" w:rsidRDefault="00CF273D" w:rsidP="005857FD">
            <w:pPr>
              <w:rPr>
                <w:b/>
                <w:bCs/>
              </w:rPr>
            </w:pPr>
            <w:r w:rsidRPr="008855E6">
              <w:rPr>
                <w:b/>
                <w:bCs/>
                <w:sz w:val="28"/>
                <w:szCs w:val="28"/>
              </w:rPr>
              <w:lastRenderedPageBreak/>
              <w:t xml:space="preserve">OFLOG Performance Indicators: Financial Resilience – Lincolnshire District Councils – Metric </w:t>
            </w:r>
            <w:r>
              <w:rPr>
                <w:b/>
                <w:bCs/>
                <w:sz w:val="28"/>
                <w:szCs w:val="28"/>
              </w:rPr>
              <w:t>3: Total core spending power per dwelling</w:t>
            </w:r>
          </w:p>
        </w:tc>
      </w:tr>
      <w:tr w:rsidR="00CF273D" w14:paraId="312ECA86" w14:textId="77777777" w:rsidTr="005857FD">
        <w:tc>
          <w:tcPr>
            <w:tcW w:w="20921" w:type="dxa"/>
            <w:gridSpan w:val="10"/>
          </w:tcPr>
          <w:p w14:paraId="197F4CCA" w14:textId="15BAFA6C" w:rsidR="00CF273D" w:rsidRPr="00CF273D" w:rsidRDefault="00CF273D" w:rsidP="00CF273D">
            <w:pPr>
              <w:rPr>
                <w:b/>
                <w:bCs/>
                <w:sz w:val="24"/>
                <w:szCs w:val="24"/>
              </w:rPr>
            </w:pPr>
            <w:r w:rsidRPr="00CF273D">
              <w:rPr>
                <w:b/>
                <w:bCs/>
                <w:sz w:val="24"/>
                <w:szCs w:val="24"/>
              </w:rPr>
              <w:t>All data is for the Financial Year 2022/23. Data for the previous financial year 2021/22 is in brackets. For finance data, national rankings and decile placings are calculated from the pool of English district councils. Counties, unitaries, metropolitans and London borough councils are excluded. Authorities where data is lacking for a specific metric are also excluded. For this metric the total pool is 1</w:t>
            </w:r>
            <w:r w:rsidR="00FF3142">
              <w:rPr>
                <w:b/>
                <w:bCs/>
                <w:sz w:val="24"/>
                <w:szCs w:val="24"/>
              </w:rPr>
              <w:t>81</w:t>
            </w:r>
            <w:r w:rsidRPr="00CF273D">
              <w:rPr>
                <w:b/>
                <w:bCs/>
                <w:sz w:val="24"/>
                <w:szCs w:val="24"/>
              </w:rPr>
              <w:t xml:space="preserve"> with 1st being the best performer. </w:t>
            </w:r>
          </w:p>
          <w:p w14:paraId="74C7D477" w14:textId="11ED07F7" w:rsidR="00CF273D" w:rsidRPr="008855E6" w:rsidRDefault="00CF273D" w:rsidP="005857FD">
            <w:pPr>
              <w:rPr>
                <w:b/>
                <w:bCs/>
                <w:sz w:val="24"/>
                <w:szCs w:val="24"/>
              </w:rPr>
            </w:pPr>
            <w:r w:rsidRPr="00CF273D">
              <w:rPr>
                <w:b/>
                <w:bCs/>
                <w:sz w:val="24"/>
                <w:szCs w:val="24"/>
              </w:rPr>
              <w:t>Decile Key: Decile 9 – in the top 20% of English local authorities, Decile 2 – in the bottom 20% of English local authorities, Deciles 6+ in the top half of English local authorities for given indicator.</w:t>
            </w:r>
          </w:p>
        </w:tc>
      </w:tr>
      <w:tr w:rsidR="00CF273D" w14:paraId="117862DB" w14:textId="77777777" w:rsidTr="002D35BD">
        <w:tc>
          <w:tcPr>
            <w:tcW w:w="1314" w:type="dxa"/>
            <w:tcBorders>
              <w:bottom w:val="single" w:sz="4" w:space="0" w:color="auto"/>
            </w:tcBorders>
          </w:tcPr>
          <w:p w14:paraId="6B1C42BB" w14:textId="77777777" w:rsidR="00CF273D" w:rsidRPr="008855E6" w:rsidRDefault="00CF273D" w:rsidP="005857FD">
            <w:pPr>
              <w:rPr>
                <w:b/>
                <w:bCs/>
              </w:rPr>
            </w:pPr>
            <w:r w:rsidRPr="008855E6">
              <w:rPr>
                <w:b/>
                <w:bCs/>
              </w:rPr>
              <w:t>Lincolnshire Ranking</w:t>
            </w:r>
          </w:p>
        </w:tc>
        <w:tc>
          <w:tcPr>
            <w:tcW w:w="1682" w:type="dxa"/>
            <w:tcBorders>
              <w:bottom w:val="single" w:sz="4" w:space="0" w:color="auto"/>
            </w:tcBorders>
          </w:tcPr>
          <w:p w14:paraId="3638E7C9" w14:textId="77777777" w:rsidR="00CF273D" w:rsidRPr="008855E6" w:rsidRDefault="00CF273D" w:rsidP="005857FD">
            <w:pPr>
              <w:rPr>
                <w:b/>
                <w:bCs/>
              </w:rPr>
            </w:pPr>
            <w:r w:rsidRPr="008855E6">
              <w:rPr>
                <w:b/>
                <w:bCs/>
              </w:rPr>
              <w:t>Authority</w:t>
            </w:r>
          </w:p>
        </w:tc>
        <w:tc>
          <w:tcPr>
            <w:tcW w:w="1133" w:type="dxa"/>
            <w:tcBorders>
              <w:bottom w:val="single" w:sz="4" w:space="0" w:color="auto"/>
            </w:tcBorders>
          </w:tcPr>
          <w:p w14:paraId="4020DA91" w14:textId="77777777" w:rsidR="00CF273D" w:rsidRPr="008855E6" w:rsidRDefault="00CF273D" w:rsidP="005857FD">
            <w:pPr>
              <w:rPr>
                <w:b/>
                <w:bCs/>
              </w:rPr>
            </w:pPr>
            <w:r w:rsidRPr="008855E6">
              <w:rPr>
                <w:b/>
                <w:bCs/>
              </w:rPr>
              <w:t>Value</w:t>
            </w:r>
          </w:p>
        </w:tc>
        <w:tc>
          <w:tcPr>
            <w:tcW w:w="2689" w:type="dxa"/>
            <w:tcBorders>
              <w:bottom w:val="single" w:sz="4" w:space="0" w:color="auto"/>
            </w:tcBorders>
          </w:tcPr>
          <w:p w14:paraId="476DD0A1" w14:textId="77777777" w:rsidR="00CF273D" w:rsidRPr="008855E6" w:rsidRDefault="00CF273D" w:rsidP="005857FD">
            <w:pPr>
              <w:rPr>
                <w:b/>
                <w:bCs/>
              </w:rPr>
            </w:pPr>
            <w:r>
              <w:rPr>
                <w:b/>
                <w:bCs/>
              </w:rPr>
              <w:t>Total Core Spending Power (£ millions)</w:t>
            </w:r>
          </w:p>
        </w:tc>
        <w:tc>
          <w:tcPr>
            <w:tcW w:w="2391" w:type="dxa"/>
            <w:tcBorders>
              <w:bottom w:val="single" w:sz="4" w:space="0" w:color="auto"/>
            </w:tcBorders>
          </w:tcPr>
          <w:p w14:paraId="5AE9962A" w14:textId="77777777" w:rsidR="00CF273D" w:rsidRPr="008855E6" w:rsidRDefault="00CF273D" w:rsidP="005857FD">
            <w:pPr>
              <w:rPr>
                <w:b/>
                <w:bCs/>
              </w:rPr>
            </w:pPr>
            <w:r>
              <w:rPr>
                <w:b/>
                <w:bCs/>
              </w:rPr>
              <w:t>Total number of dwellings (September 2021)</w:t>
            </w:r>
          </w:p>
        </w:tc>
        <w:tc>
          <w:tcPr>
            <w:tcW w:w="1007" w:type="dxa"/>
            <w:tcBorders>
              <w:bottom w:val="single" w:sz="4" w:space="0" w:color="auto"/>
            </w:tcBorders>
          </w:tcPr>
          <w:p w14:paraId="4E32B5C1" w14:textId="77777777" w:rsidR="00CF273D" w:rsidRPr="008855E6" w:rsidRDefault="00CF273D" w:rsidP="005857FD">
            <w:pPr>
              <w:rPr>
                <w:b/>
                <w:bCs/>
              </w:rPr>
            </w:pPr>
            <w:r w:rsidRPr="008855E6">
              <w:rPr>
                <w:b/>
                <w:bCs/>
              </w:rPr>
              <w:t>Data Polarity</w:t>
            </w:r>
          </w:p>
        </w:tc>
        <w:tc>
          <w:tcPr>
            <w:tcW w:w="1559" w:type="dxa"/>
            <w:tcBorders>
              <w:bottom w:val="single" w:sz="4" w:space="0" w:color="auto"/>
            </w:tcBorders>
          </w:tcPr>
          <w:p w14:paraId="0A73878E" w14:textId="77777777" w:rsidR="00CF273D" w:rsidRPr="008855E6" w:rsidRDefault="00CF273D" w:rsidP="005857FD">
            <w:pPr>
              <w:rPr>
                <w:b/>
                <w:bCs/>
              </w:rPr>
            </w:pPr>
            <w:r w:rsidRPr="008855E6">
              <w:rPr>
                <w:b/>
                <w:bCs/>
              </w:rPr>
              <w:t>National Decile Placing</w:t>
            </w:r>
          </w:p>
        </w:tc>
        <w:tc>
          <w:tcPr>
            <w:tcW w:w="1134" w:type="dxa"/>
            <w:tcBorders>
              <w:bottom w:val="single" w:sz="4" w:space="0" w:color="auto"/>
            </w:tcBorders>
          </w:tcPr>
          <w:p w14:paraId="0D240F48" w14:textId="77777777" w:rsidR="00CF273D" w:rsidRPr="008855E6" w:rsidRDefault="00CF273D" w:rsidP="005857FD">
            <w:pPr>
              <w:rPr>
                <w:b/>
                <w:bCs/>
              </w:rPr>
            </w:pPr>
            <w:r w:rsidRPr="008855E6">
              <w:rPr>
                <w:b/>
                <w:bCs/>
              </w:rPr>
              <w:t>National Ranking</w:t>
            </w:r>
          </w:p>
        </w:tc>
        <w:tc>
          <w:tcPr>
            <w:tcW w:w="3104" w:type="dxa"/>
            <w:tcBorders>
              <w:bottom w:val="single" w:sz="4" w:space="0" w:color="auto"/>
            </w:tcBorders>
          </w:tcPr>
          <w:p w14:paraId="3B6AF594" w14:textId="77777777" w:rsidR="00CF273D" w:rsidRPr="008855E6" w:rsidRDefault="00CF273D" w:rsidP="005857FD">
            <w:pPr>
              <w:rPr>
                <w:b/>
                <w:bCs/>
              </w:rPr>
            </w:pPr>
            <w:r>
              <w:rPr>
                <w:b/>
                <w:bCs/>
              </w:rPr>
              <w:t>National &amp; Regional Context</w:t>
            </w:r>
          </w:p>
        </w:tc>
        <w:tc>
          <w:tcPr>
            <w:tcW w:w="4908" w:type="dxa"/>
            <w:tcBorders>
              <w:bottom w:val="single" w:sz="4" w:space="0" w:color="auto"/>
            </w:tcBorders>
          </w:tcPr>
          <w:p w14:paraId="115BFFFE" w14:textId="77777777" w:rsidR="00CF273D" w:rsidRPr="008855E6" w:rsidRDefault="00CF273D" w:rsidP="005857FD">
            <w:pPr>
              <w:rPr>
                <w:b/>
                <w:bCs/>
              </w:rPr>
            </w:pPr>
            <w:r w:rsidRPr="008855E6">
              <w:rPr>
                <w:b/>
                <w:bCs/>
              </w:rPr>
              <w:t>Source</w:t>
            </w:r>
            <w:r>
              <w:rPr>
                <w:b/>
                <w:bCs/>
              </w:rPr>
              <w:t xml:space="preserve"> &amp; Explanatory Notes</w:t>
            </w:r>
          </w:p>
        </w:tc>
      </w:tr>
      <w:tr w:rsidR="002D35BD" w14:paraId="46689E09" w14:textId="77777777" w:rsidTr="002D35BD">
        <w:tc>
          <w:tcPr>
            <w:tcW w:w="1314" w:type="dxa"/>
            <w:tcBorders>
              <w:top w:val="single" w:sz="4" w:space="0" w:color="auto"/>
            </w:tcBorders>
          </w:tcPr>
          <w:p w14:paraId="52752C25" w14:textId="3AFD2B0C" w:rsidR="002D35BD" w:rsidRDefault="002D35BD" w:rsidP="002D35BD">
            <w:r>
              <w:t>1 (1)</w:t>
            </w:r>
          </w:p>
        </w:tc>
        <w:tc>
          <w:tcPr>
            <w:tcW w:w="1682" w:type="dxa"/>
            <w:tcBorders>
              <w:top w:val="single" w:sz="4" w:space="0" w:color="auto"/>
              <w:left w:val="nil"/>
              <w:bottom w:val="single" w:sz="4" w:space="0" w:color="auto"/>
              <w:right w:val="single" w:sz="4" w:space="0" w:color="auto"/>
            </w:tcBorders>
            <w:shd w:val="clear" w:color="auto" w:fill="auto"/>
            <w:vAlign w:val="bottom"/>
          </w:tcPr>
          <w:p w14:paraId="742B774E" w14:textId="101EE0B2" w:rsidR="002D35BD" w:rsidRPr="002D35BD" w:rsidRDefault="002D35BD" w:rsidP="002D35BD">
            <w:pPr>
              <w:rPr>
                <w:rFonts w:cstheme="minorHAnsi"/>
              </w:rPr>
            </w:pPr>
            <w:r w:rsidRPr="002D35BD">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28CF2CE" w14:textId="3A5F6589" w:rsidR="002D35BD" w:rsidRPr="002D35BD" w:rsidRDefault="002D35BD" w:rsidP="002D35BD">
            <w:pPr>
              <w:rPr>
                <w:rFonts w:cstheme="minorHAnsi"/>
              </w:rPr>
            </w:pPr>
            <w:r w:rsidRPr="002D35BD">
              <w:rPr>
                <w:rFonts w:cstheme="minorHAnsi"/>
                <w:color w:val="000000"/>
              </w:rPr>
              <w:t>£296.7 (£279.7)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44BB243" w14:textId="34D6CD52" w:rsidR="002D35BD" w:rsidRPr="002D35BD" w:rsidRDefault="002D35BD" w:rsidP="002D35BD">
            <w:pPr>
              <w:rPr>
                <w:rFonts w:cstheme="minorHAnsi"/>
              </w:rPr>
            </w:pPr>
            <w:r w:rsidRPr="002D35BD">
              <w:rPr>
                <w:rFonts w:cstheme="minorHAnsi"/>
                <w:color w:val="000000"/>
              </w:rPr>
              <w:t>9.3</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57027D9E" w14:textId="49748E44" w:rsidR="002D35BD" w:rsidRPr="002D35BD" w:rsidRDefault="002D35BD" w:rsidP="002D35BD">
            <w:pPr>
              <w:rPr>
                <w:rFonts w:cstheme="minorHAnsi"/>
              </w:rPr>
            </w:pPr>
            <w:r w:rsidRPr="002D35BD">
              <w:rPr>
                <w:rFonts w:cstheme="minorHAnsi"/>
                <w:color w:val="000000"/>
              </w:rPr>
              <w:t>30,933</w:t>
            </w:r>
          </w:p>
        </w:tc>
        <w:tc>
          <w:tcPr>
            <w:tcW w:w="1007" w:type="dxa"/>
            <w:vMerge w:val="restart"/>
            <w:tcBorders>
              <w:top w:val="single" w:sz="4" w:space="0" w:color="auto"/>
              <w:left w:val="single" w:sz="4" w:space="0" w:color="auto"/>
              <w:bottom w:val="single" w:sz="4" w:space="0" w:color="auto"/>
              <w:right w:val="single" w:sz="4" w:space="0" w:color="auto"/>
            </w:tcBorders>
          </w:tcPr>
          <w:p w14:paraId="159A08F7" w14:textId="77777777" w:rsidR="002D35BD" w:rsidRPr="002D35BD" w:rsidRDefault="002D35BD" w:rsidP="002D35BD">
            <w:pPr>
              <w:rPr>
                <w:rFonts w:cstheme="minorHAnsi"/>
              </w:rPr>
            </w:pPr>
            <w:r w:rsidRPr="002D35BD">
              <w:rPr>
                <w:rFonts w:cstheme="minorHAnsi"/>
              </w:rPr>
              <w:t>Highest to Lowest</w:t>
            </w:r>
          </w:p>
        </w:tc>
        <w:tc>
          <w:tcPr>
            <w:tcW w:w="1559" w:type="dxa"/>
            <w:tcBorders>
              <w:top w:val="single" w:sz="4" w:space="0" w:color="auto"/>
              <w:left w:val="single" w:sz="4" w:space="0" w:color="auto"/>
              <w:bottom w:val="single" w:sz="4" w:space="0" w:color="auto"/>
              <w:right w:val="single" w:sz="4" w:space="0" w:color="auto"/>
            </w:tcBorders>
          </w:tcPr>
          <w:p w14:paraId="5156BB27" w14:textId="1DCCB304" w:rsidR="002D35BD" w:rsidRPr="002D35BD" w:rsidRDefault="002D35BD" w:rsidP="002D35BD">
            <w:pPr>
              <w:rPr>
                <w:rFonts w:cstheme="minorHAnsi"/>
              </w:rPr>
            </w:pPr>
            <w:r w:rsidRPr="002D35BD">
              <w:rPr>
                <w:rFonts w:cstheme="minorHAnsi"/>
              </w:rPr>
              <w:t>9</w:t>
            </w:r>
            <w:r w:rsidR="0043753A">
              <w:rPr>
                <w:rFonts w:cstheme="minorHAnsi"/>
              </w:rPr>
              <w:t xml:space="preserve"> (9)</w:t>
            </w:r>
          </w:p>
        </w:tc>
        <w:tc>
          <w:tcPr>
            <w:tcW w:w="1134" w:type="dxa"/>
            <w:tcBorders>
              <w:top w:val="single" w:sz="4" w:space="0" w:color="auto"/>
              <w:left w:val="single" w:sz="4" w:space="0" w:color="auto"/>
              <w:bottom w:val="single" w:sz="4" w:space="0" w:color="auto"/>
              <w:right w:val="nil"/>
            </w:tcBorders>
            <w:shd w:val="clear" w:color="auto" w:fill="auto"/>
            <w:vAlign w:val="bottom"/>
          </w:tcPr>
          <w:p w14:paraId="0756B5B1" w14:textId="13348E1B" w:rsidR="002D35BD" w:rsidRPr="002D35BD" w:rsidRDefault="002D35BD" w:rsidP="002D35BD">
            <w:pPr>
              <w:rPr>
                <w:rFonts w:cstheme="minorHAnsi"/>
              </w:rPr>
            </w:pPr>
            <w:r w:rsidRPr="002D35BD">
              <w:rPr>
                <w:rFonts w:cstheme="minorHAnsi"/>
                <w:color w:val="000000"/>
              </w:rPr>
              <w:t>26</w:t>
            </w:r>
          </w:p>
        </w:tc>
        <w:tc>
          <w:tcPr>
            <w:tcW w:w="3104" w:type="dxa"/>
            <w:vMerge w:val="restart"/>
            <w:tcBorders>
              <w:top w:val="single" w:sz="4" w:space="0" w:color="auto"/>
            </w:tcBorders>
          </w:tcPr>
          <w:p w14:paraId="2484F7B5" w14:textId="5058CA37" w:rsidR="002D35BD" w:rsidRDefault="002D35BD" w:rsidP="002D35BD">
            <w:r w:rsidRPr="002F2DAC">
              <w:t>The median for district councils in England was £</w:t>
            </w:r>
            <w:r>
              <w:t>251.30</w:t>
            </w:r>
            <w:r w:rsidRPr="002F2DAC">
              <w:t>. The median for districts in Lincolnshire was £</w:t>
            </w:r>
            <w:r>
              <w:t>262.50</w:t>
            </w:r>
            <w:r w:rsidRPr="002F2DAC">
              <w:t>. The median for authorities in the East Midlands was £237.</w:t>
            </w:r>
            <w:r>
              <w:t>6</w:t>
            </w:r>
            <w:r w:rsidRPr="002F2DAC">
              <w:t>0.</w:t>
            </w:r>
            <w:r>
              <w:t xml:space="preserve"> </w:t>
            </w:r>
            <w:r w:rsidRPr="002D35BD">
              <w:t xml:space="preserve">The median for SKDC’s CIPFA Peers was </w:t>
            </w:r>
            <w:r>
              <w:t>£226.</w:t>
            </w:r>
          </w:p>
        </w:tc>
        <w:tc>
          <w:tcPr>
            <w:tcW w:w="4908" w:type="dxa"/>
            <w:vMerge w:val="restart"/>
            <w:tcBorders>
              <w:top w:val="single" w:sz="4" w:space="0" w:color="auto"/>
            </w:tcBorders>
          </w:tcPr>
          <w:p w14:paraId="1C1F9B45" w14:textId="77777777" w:rsidR="002D35BD" w:rsidRDefault="002D35BD" w:rsidP="002D35BD">
            <w:pPr>
              <w:rPr>
                <w:i/>
                <w:iCs/>
              </w:rPr>
            </w:pPr>
            <w:r w:rsidRPr="002F2DAC">
              <w:rPr>
                <w:i/>
                <w:iCs/>
              </w:rPr>
              <w:t xml:space="preserve">DLUHC: Core spending power: final local government finance settlement 2022 to 2023 </w:t>
            </w:r>
          </w:p>
          <w:p w14:paraId="0394689B" w14:textId="77777777" w:rsidR="002D35BD" w:rsidRDefault="002D35BD" w:rsidP="002D35BD">
            <w:pPr>
              <w:rPr>
                <w:i/>
                <w:iCs/>
              </w:rPr>
            </w:pPr>
          </w:p>
          <w:p w14:paraId="6F7DC12C" w14:textId="77777777" w:rsidR="002D35BD" w:rsidRPr="008855E6" w:rsidRDefault="002D35BD" w:rsidP="002D35BD">
            <w:pPr>
              <w:rPr>
                <w:i/>
                <w:iCs/>
              </w:rPr>
            </w:pPr>
            <w:r w:rsidRPr="00CE67CC">
              <w:t xml:space="preserve">Core Spending Power is </w:t>
            </w:r>
            <w:r>
              <w:t xml:space="preserve">set at </w:t>
            </w:r>
            <w:r w:rsidRPr="00CE67CC">
              <w:t>the annual Local Government Finance Settlement.</w:t>
            </w:r>
            <w:r>
              <w:t xml:space="preserve"> Per dwelling is calculated: Core Spending Power/Number of Dwellings.</w:t>
            </w:r>
          </w:p>
        </w:tc>
      </w:tr>
      <w:tr w:rsidR="002D35BD" w14:paraId="7F452A5E" w14:textId="77777777" w:rsidTr="002D35BD">
        <w:tc>
          <w:tcPr>
            <w:tcW w:w="1314" w:type="dxa"/>
          </w:tcPr>
          <w:p w14:paraId="36838C39" w14:textId="0F9C74EB" w:rsidR="002D35BD" w:rsidRDefault="002D35BD" w:rsidP="002D35BD">
            <w:r>
              <w:t>2 (4)</w:t>
            </w:r>
          </w:p>
        </w:tc>
        <w:tc>
          <w:tcPr>
            <w:tcW w:w="1682" w:type="dxa"/>
            <w:tcBorders>
              <w:top w:val="single" w:sz="4" w:space="0" w:color="auto"/>
              <w:left w:val="nil"/>
              <w:bottom w:val="single" w:sz="4" w:space="0" w:color="auto"/>
              <w:right w:val="single" w:sz="4" w:space="0" w:color="auto"/>
            </w:tcBorders>
            <w:shd w:val="clear" w:color="auto" w:fill="auto"/>
            <w:vAlign w:val="bottom"/>
          </w:tcPr>
          <w:p w14:paraId="6FA72F16" w14:textId="675FF2AA" w:rsidR="002D35BD" w:rsidRPr="002D35BD" w:rsidRDefault="002D35BD" w:rsidP="002D35BD">
            <w:pPr>
              <w:rPr>
                <w:rFonts w:cstheme="minorHAnsi"/>
              </w:rPr>
            </w:pPr>
            <w:r w:rsidRPr="002D35BD">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BC64AA9" w14:textId="2C20ABDB" w:rsidR="002D35BD" w:rsidRPr="002D35BD" w:rsidRDefault="002D35BD" w:rsidP="002D35BD">
            <w:pPr>
              <w:rPr>
                <w:rFonts w:cstheme="minorHAnsi"/>
              </w:rPr>
            </w:pPr>
            <w:r w:rsidRPr="002D35BD">
              <w:rPr>
                <w:rFonts w:cstheme="minorHAnsi"/>
                <w:color w:val="000000"/>
              </w:rPr>
              <w:t>£269.4 (£245.3)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12B365A" w14:textId="2F8F9D27" w:rsidR="002D35BD" w:rsidRPr="002D35BD" w:rsidRDefault="002D35BD" w:rsidP="002D35BD">
            <w:pPr>
              <w:rPr>
                <w:rFonts w:cstheme="minorHAnsi"/>
              </w:rPr>
            </w:pPr>
            <w:r w:rsidRPr="002D35BD">
              <w:rPr>
                <w:rFonts w:cstheme="minorHAnsi"/>
                <w:color w:val="000000"/>
              </w:rPr>
              <w:t>11.6</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71D0BF08" w14:textId="3E6E0124" w:rsidR="002D35BD" w:rsidRPr="002D35BD" w:rsidRDefault="002D35BD" w:rsidP="002D35BD">
            <w:pPr>
              <w:rPr>
                <w:rFonts w:cstheme="minorHAnsi"/>
              </w:rPr>
            </w:pPr>
            <w:r w:rsidRPr="002D35BD">
              <w:rPr>
                <w:rFonts w:cstheme="minorHAnsi"/>
                <w:color w:val="000000"/>
              </w:rPr>
              <w:t>42,425</w:t>
            </w:r>
          </w:p>
        </w:tc>
        <w:tc>
          <w:tcPr>
            <w:tcW w:w="1007" w:type="dxa"/>
            <w:vMerge/>
            <w:tcBorders>
              <w:top w:val="single" w:sz="4" w:space="0" w:color="auto"/>
              <w:left w:val="single" w:sz="4" w:space="0" w:color="auto"/>
              <w:bottom w:val="single" w:sz="4" w:space="0" w:color="auto"/>
              <w:right w:val="single" w:sz="4" w:space="0" w:color="auto"/>
            </w:tcBorders>
          </w:tcPr>
          <w:p w14:paraId="703D99C7"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0641670D" w14:textId="5751A6CE" w:rsidR="002D35BD" w:rsidRPr="002D35BD" w:rsidRDefault="002D35BD" w:rsidP="002D35BD">
            <w:pPr>
              <w:rPr>
                <w:rFonts w:cstheme="minorHAnsi"/>
              </w:rPr>
            </w:pPr>
            <w:r w:rsidRPr="002D35BD">
              <w:rPr>
                <w:rFonts w:cstheme="minorHAnsi"/>
              </w:rPr>
              <w:t>8</w:t>
            </w:r>
            <w:r w:rsidR="0043753A">
              <w:rPr>
                <w:rFonts w:cstheme="minorHAnsi"/>
              </w:rPr>
              <w:t xml:space="preserve"> (6)</w:t>
            </w:r>
          </w:p>
        </w:tc>
        <w:tc>
          <w:tcPr>
            <w:tcW w:w="1134" w:type="dxa"/>
            <w:tcBorders>
              <w:top w:val="single" w:sz="4" w:space="0" w:color="auto"/>
              <w:left w:val="single" w:sz="4" w:space="0" w:color="auto"/>
              <w:bottom w:val="single" w:sz="4" w:space="0" w:color="auto"/>
              <w:right w:val="nil"/>
            </w:tcBorders>
            <w:shd w:val="clear" w:color="auto" w:fill="auto"/>
            <w:vAlign w:val="bottom"/>
          </w:tcPr>
          <w:p w14:paraId="161B05AA" w14:textId="623C6B2A" w:rsidR="002D35BD" w:rsidRPr="002D35BD" w:rsidRDefault="002D35BD" w:rsidP="002D35BD">
            <w:pPr>
              <w:rPr>
                <w:rFonts w:cstheme="minorHAnsi"/>
              </w:rPr>
            </w:pPr>
            <w:r w:rsidRPr="002D35BD">
              <w:rPr>
                <w:rFonts w:cstheme="minorHAnsi"/>
                <w:color w:val="000000"/>
              </w:rPr>
              <w:t>53</w:t>
            </w:r>
          </w:p>
        </w:tc>
        <w:tc>
          <w:tcPr>
            <w:tcW w:w="3104" w:type="dxa"/>
            <w:vMerge/>
          </w:tcPr>
          <w:p w14:paraId="25B4F71E" w14:textId="77777777" w:rsidR="002D35BD" w:rsidRDefault="002D35BD" w:rsidP="002D35BD"/>
        </w:tc>
        <w:tc>
          <w:tcPr>
            <w:tcW w:w="4908" w:type="dxa"/>
            <w:vMerge/>
          </w:tcPr>
          <w:p w14:paraId="2A7901C2" w14:textId="77777777" w:rsidR="002D35BD" w:rsidRDefault="002D35BD" w:rsidP="002D35BD"/>
        </w:tc>
      </w:tr>
      <w:tr w:rsidR="002D35BD" w14:paraId="355B2565" w14:textId="77777777" w:rsidTr="002D35BD">
        <w:tc>
          <w:tcPr>
            <w:tcW w:w="1314" w:type="dxa"/>
          </w:tcPr>
          <w:p w14:paraId="1B774F83" w14:textId="3C785422" w:rsidR="002D35BD" w:rsidRDefault="002D35BD" w:rsidP="002D35BD">
            <w:r>
              <w:t>3 (2)</w:t>
            </w:r>
          </w:p>
        </w:tc>
        <w:tc>
          <w:tcPr>
            <w:tcW w:w="1682" w:type="dxa"/>
            <w:tcBorders>
              <w:top w:val="single" w:sz="4" w:space="0" w:color="auto"/>
              <w:left w:val="nil"/>
              <w:bottom w:val="single" w:sz="4" w:space="0" w:color="auto"/>
              <w:right w:val="single" w:sz="4" w:space="0" w:color="auto"/>
            </w:tcBorders>
            <w:shd w:val="clear" w:color="auto" w:fill="auto"/>
            <w:vAlign w:val="bottom"/>
          </w:tcPr>
          <w:p w14:paraId="4B3215B4" w14:textId="3C3A84E0" w:rsidR="002D35BD" w:rsidRPr="002D35BD" w:rsidRDefault="002D35BD" w:rsidP="002D35BD">
            <w:pPr>
              <w:rPr>
                <w:rFonts w:cstheme="minorHAnsi"/>
              </w:rPr>
            </w:pPr>
            <w:r w:rsidRPr="002D35BD">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B776E4F" w14:textId="760CA289" w:rsidR="002D35BD" w:rsidRPr="002D35BD" w:rsidRDefault="002D35BD" w:rsidP="002D35BD">
            <w:pPr>
              <w:rPr>
                <w:rFonts w:cstheme="minorHAnsi"/>
              </w:rPr>
            </w:pPr>
            <w:r w:rsidRPr="002D35BD">
              <w:rPr>
                <w:rFonts w:cstheme="minorHAnsi"/>
                <w:color w:val="000000"/>
              </w:rPr>
              <w:t>£269.4 (£251.6)</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FCFB753" w14:textId="338CBD42" w:rsidR="002D35BD" w:rsidRPr="002D35BD" w:rsidRDefault="002D35BD" w:rsidP="002D35BD">
            <w:pPr>
              <w:rPr>
                <w:rFonts w:cstheme="minorHAnsi"/>
              </w:rPr>
            </w:pPr>
            <w:r w:rsidRPr="002D35BD">
              <w:rPr>
                <w:rFonts w:cstheme="minorHAnsi"/>
                <w:color w:val="000000"/>
              </w:rPr>
              <w:t>12.3</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2EB8B0D6" w14:textId="556D7AF3" w:rsidR="002D35BD" w:rsidRPr="002D35BD" w:rsidRDefault="002D35BD" w:rsidP="002D35BD">
            <w:pPr>
              <w:rPr>
                <w:rFonts w:cstheme="minorHAnsi"/>
              </w:rPr>
            </w:pPr>
            <w:r w:rsidRPr="002D35BD">
              <w:rPr>
                <w:rFonts w:cstheme="minorHAnsi"/>
                <w:color w:val="000000"/>
              </w:rPr>
              <w:t>44,660</w:t>
            </w:r>
          </w:p>
        </w:tc>
        <w:tc>
          <w:tcPr>
            <w:tcW w:w="1007" w:type="dxa"/>
            <w:vMerge/>
            <w:tcBorders>
              <w:top w:val="single" w:sz="4" w:space="0" w:color="auto"/>
              <w:left w:val="single" w:sz="4" w:space="0" w:color="auto"/>
              <w:bottom w:val="single" w:sz="4" w:space="0" w:color="auto"/>
              <w:right w:val="single" w:sz="4" w:space="0" w:color="auto"/>
            </w:tcBorders>
          </w:tcPr>
          <w:p w14:paraId="7E64D8BB"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7DDB79B6" w14:textId="279ADA67" w:rsidR="002D35BD" w:rsidRPr="002D35BD" w:rsidRDefault="002D35BD" w:rsidP="002D35BD">
            <w:pPr>
              <w:rPr>
                <w:rFonts w:cstheme="minorHAnsi"/>
              </w:rPr>
            </w:pPr>
            <w:r w:rsidRPr="002D35BD">
              <w:rPr>
                <w:rFonts w:cstheme="minorHAnsi"/>
              </w:rPr>
              <w:t>7</w:t>
            </w:r>
            <w:r w:rsidR="0043753A">
              <w:rPr>
                <w:rFonts w:cstheme="minorHAnsi"/>
              </w:rPr>
              <w:t xml:space="preserve"> (7)</w:t>
            </w:r>
          </w:p>
        </w:tc>
        <w:tc>
          <w:tcPr>
            <w:tcW w:w="1134" w:type="dxa"/>
            <w:tcBorders>
              <w:top w:val="single" w:sz="4" w:space="0" w:color="auto"/>
              <w:left w:val="single" w:sz="4" w:space="0" w:color="auto"/>
              <w:bottom w:val="single" w:sz="4" w:space="0" w:color="auto"/>
              <w:right w:val="nil"/>
            </w:tcBorders>
            <w:shd w:val="clear" w:color="auto" w:fill="auto"/>
            <w:vAlign w:val="bottom"/>
          </w:tcPr>
          <w:p w14:paraId="67D93E04" w14:textId="42E808EE" w:rsidR="002D35BD" w:rsidRPr="002D35BD" w:rsidRDefault="002D35BD" w:rsidP="002D35BD">
            <w:pPr>
              <w:rPr>
                <w:rFonts w:cstheme="minorHAnsi"/>
              </w:rPr>
            </w:pPr>
            <w:r w:rsidRPr="002D35BD">
              <w:rPr>
                <w:rFonts w:cstheme="minorHAnsi"/>
                <w:color w:val="000000"/>
              </w:rPr>
              <w:t>54</w:t>
            </w:r>
          </w:p>
        </w:tc>
        <w:tc>
          <w:tcPr>
            <w:tcW w:w="3104" w:type="dxa"/>
            <w:vMerge/>
          </w:tcPr>
          <w:p w14:paraId="142D05E2" w14:textId="77777777" w:rsidR="002D35BD" w:rsidRDefault="002D35BD" w:rsidP="002D35BD"/>
        </w:tc>
        <w:tc>
          <w:tcPr>
            <w:tcW w:w="4908" w:type="dxa"/>
            <w:vMerge/>
          </w:tcPr>
          <w:p w14:paraId="1E476E32" w14:textId="77777777" w:rsidR="002D35BD" w:rsidRDefault="002D35BD" w:rsidP="002D35BD"/>
        </w:tc>
      </w:tr>
      <w:tr w:rsidR="002D35BD" w14:paraId="4D2F7289" w14:textId="77777777" w:rsidTr="002D35BD">
        <w:tc>
          <w:tcPr>
            <w:tcW w:w="1314" w:type="dxa"/>
          </w:tcPr>
          <w:p w14:paraId="04B65422" w14:textId="1E734B00" w:rsidR="002D35BD" w:rsidRDefault="002D35BD" w:rsidP="002D35BD">
            <w:r>
              <w:t>4 (3)</w:t>
            </w:r>
          </w:p>
        </w:tc>
        <w:tc>
          <w:tcPr>
            <w:tcW w:w="1682" w:type="dxa"/>
            <w:tcBorders>
              <w:top w:val="single" w:sz="4" w:space="0" w:color="auto"/>
              <w:left w:val="nil"/>
              <w:bottom w:val="single" w:sz="4" w:space="0" w:color="auto"/>
              <w:right w:val="single" w:sz="4" w:space="0" w:color="auto"/>
            </w:tcBorders>
            <w:shd w:val="clear" w:color="auto" w:fill="auto"/>
            <w:vAlign w:val="bottom"/>
          </w:tcPr>
          <w:p w14:paraId="61C657EB" w14:textId="5859313B" w:rsidR="002D35BD" w:rsidRPr="002D35BD" w:rsidRDefault="002D35BD" w:rsidP="002D35BD">
            <w:pPr>
              <w:rPr>
                <w:rFonts w:cstheme="minorHAnsi"/>
              </w:rPr>
            </w:pPr>
            <w:r w:rsidRPr="002D35BD">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127BBB9" w14:textId="5E081C3B" w:rsidR="002D35BD" w:rsidRPr="002D35BD" w:rsidRDefault="002D35BD" w:rsidP="002D35BD">
            <w:pPr>
              <w:rPr>
                <w:rFonts w:cstheme="minorHAnsi"/>
              </w:rPr>
            </w:pPr>
            <w:r w:rsidRPr="002D35BD">
              <w:rPr>
                <w:rFonts w:cstheme="minorHAnsi"/>
                <w:color w:val="000000"/>
              </w:rPr>
              <w:t>£262.5 (£246.2)</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C596A85" w14:textId="39454985" w:rsidR="002D35BD" w:rsidRPr="002D35BD" w:rsidRDefault="002D35BD" w:rsidP="002D35BD">
            <w:pPr>
              <w:rPr>
                <w:rFonts w:cstheme="minorHAnsi"/>
              </w:rPr>
            </w:pPr>
            <w:r w:rsidRPr="002D35BD">
              <w:rPr>
                <w:rFonts w:cstheme="minorHAnsi"/>
                <w:color w:val="000000"/>
              </w:rPr>
              <w:t>12.6</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4D5840A4" w14:textId="6E1AA549" w:rsidR="002D35BD" w:rsidRPr="002D35BD" w:rsidRDefault="002D35BD" w:rsidP="002D35BD">
            <w:pPr>
              <w:rPr>
                <w:rFonts w:cstheme="minorHAnsi"/>
              </w:rPr>
            </w:pPr>
            <w:r w:rsidRPr="002D35BD">
              <w:rPr>
                <w:rFonts w:cstheme="minorHAnsi"/>
                <w:color w:val="000000"/>
              </w:rPr>
              <w:t>46,592</w:t>
            </w:r>
          </w:p>
        </w:tc>
        <w:tc>
          <w:tcPr>
            <w:tcW w:w="1007" w:type="dxa"/>
            <w:vMerge/>
            <w:tcBorders>
              <w:top w:val="single" w:sz="4" w:space="0" w:color="auto"/>
              <w:left w:val="single" w:sz="4" w:space="0" w:color="auto"/>
              <w:bottom w:val="single" w:sz="4" w:space="0" w:color="auto"/>
              <w:right w:val="single" w:sz="4" w:space="0" w:color="auto"/>
            </w:tcBorders>
          </w:tcPr>
          <w:p w14:paraId="4DB4A2A1"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5CFC62B" w14:textId="7CD9CFDE" w:rsidR="002D35BD" w:rsidRPr="002D35BD" w:rsidRDefault="002D35BD" w:rsidP="002D35BD">
            <w:pPr>
              <w:rPr>
                <w:rFonts w:cstheme="minorHAnsi"/>
              </w:rPr>
            </w:pPr>
            <w:r w:rsidRPr="002D35BD">
              <w:rPr>
                <w:rFonts w:cstheme="minorHAnsi"/>
              </w:rPr>
              <w:t>7</w:t>
            </w:r>
            <w:r w:rsidR="0043753A">
              <w:rPr>
                <w:rFonts w:cstheme="minorHAnsi"/>
              </w:rPr>
              <w:t xml:space="preserve"> (6)</w:t>
            </w:r>
          </w:p>
        </w:tc>
        <w:tc>
          <w:tcPr>
            <w:tcW w:w="1134" w:type="dxa"/>
            <w:tcBorders>
              <w:top w:val="single" w:sz="4" w:space="0" w:color="auto"/>
              <w:left w:val="single" w:sz="4" w:space="0" w:color="auto"/>
              <w:bottom w:val="single" w:sz="4" w:space="0" w:color="auto"/>
              <w:right w:val="nil"/>
            </w:tcBorders>
            <w:shd w:val="clear" w:color="auto" w:fill="auto"/>
            <w:vAlign w:val="bottom"/>
          </w:tcPr>
          <w:p w14:paraId="2EF224A2" w14:textId="5AAB6C60" w:rsidR="002D35BD" w:rsidRPr="002D35BD" w:rsidRDefault="002D35BD" w:rsidP="002D35BD">
            <w:pPr>
              <w:rPr>
                <w:rFonts w:cstheme="minorHAnsi"/>
              </w:rPr>
            </w:pPr>
            <w:r w:rsidRPr="002D35BD">
              <w:rPr>
                <w:rFonts w:cstheme="minorHAnsi"/>
                <w:color w:val="000000"/>
              </w:rPr>
              <w:t>66</w:t>
            </w:r>
          </w:p>
        </w:tc>
        <w:tc>
          <w:tcPr>
            <w:tcW w:w="3104" w:type="dxa"/>
            <w:vMerge/>
          </w:tcPr>
          <w:p w14:paraId="1A74197F" w14:textId="77777777" w:rsidR="002D35BD" w:rsidRDefault="002D35BD" w:rsidP="002D35BD"/>
        </w:tc>
        <w:tc>
          <w:tcPr>
            <w:tcW w:w="4908" w:type="dxa"/>
            <w:vMerge/>
          </w:tcPr>
          <w:p w14:paraId="7302CAEA" w14:textId="77777777" w:rsidR="002D35BD" w:rsidRDefault="002D35BD" w:rsidP="002D35BD"/>
        </w:tc>
      </w:tr>
      <w:tr w:rsidR="002D35BD" w14:paraId="5FD8B250" w14:textId="77777777" w:rsidTr="002D35BD">
        <w:tc>
          <w:tcPr>
            <w:tcW w:w="1314" w:type="dxa"/>
          </w:tcPr>
          <w:p w14:paraId="3049D19B" w14:textId="52CB3301" w:rsidR="002D35BD" w:rsidRDefault="002D35BD" w:rsidP="002D35BD">
            <w:r>
              <w:t>5 (5)</w:t>
            </w:r>
          </w:p>
        </w:tc>
        <w:tc>
          <w:tcPr>
            <w:tcW w:w="1682" w:type="dxa"/>
            <w:tcBorders>
              <w:top w:val="single" w:sz="4" w:space="0" w:color="auto"/>
              <w:left w:val="nil"/>
              <w:bottom w:val="single" w:sz="4" w:space="0" w:color="auto"/>
              <w:right w:val="single" w:sz="4" w:space="0" w:color="auto"/>
            </w:tcBorders>
            <w:shd w:val="clear" w:color="auto" w:fill="auto"/>
            <w:vAlign w:val="bottom"/>
          </w:tcPr>
          <w:p w14:paraId="1AFAE700" w14:textId="6F5681E7" w:rsidR="002D35BD" w:rsidRPr="002D35BD" w:rsidRDefault="002D35BD" w:rsidP="002D35BD">
            <w:pPr>
              <w:rPr>
                <w:rFonts w:cstheme="minorHAnsi"/>
              </w:rPr>
            </w:pPr>
            <w:r w:rsidRPr="002D35BD">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67CAD9D" w14:textId="65E5B5D5" w:rsidR="002D35BD" w:rsidRPr="002D35BD" w:rsidRDefault="002D35BD" w:rsidP="002D35BD">
            <w:pPr>
              <w:rPr>
                <w:rFonts w:cstheme="minorHAnsi"/>
              </w:rPr>
            </w:pPr>
            <w:r w:rsidRPr="002D35BD">
              <w:rPr>
                <w:rFonts w:cstheme="minorHAnsi"/>
                <w:color w:val="000000"/>
              </w:rPr>
              <w:t>£248.8 (£228.1)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81D25DF" w14:textId="3222442A" w:rsidR="002D35BD" w:rsidRPr="002D35BD" w:rsidRDefault="002D35BD" w:rsidP="002D35BD">
            <w:pPr>
              <w:rPr>
                <w:rFonts w:cstheme="minorHAnsi"/>
              </w:rPr>
            </w:pPr>
            <w:r w:rsidRPr="002D35BD">
              <w:rPr>
                <w:rFonts w:cstheme="minorHAnsi"/>
                <w:color w:val="000000"/>
              </w:rPr>
              <w:t>17.8</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31429A94" w14:textId="0E3A4707" w:rsidR="002D35BD" w:rsidRPr="002D35BD" w:rsidRDefault="002D35BD" w:rsidP="002D35BD">
            <w:pPr>
              <w:rPr>
                <w:rFonts w:cstheme="minorHAnsi"/>
              </w:rPr>
            </w:pPr>
            <w:r w:rsidRPr="002D35BD">
              <w:rPr>
                <w:rFonts w:cstheme="minorHAnsi"/>
                <w:color w:val="000000"/>
              </w:rPr>
              <w:t>70,518</w:t>
            </w:r>
          </w:p>
        </w:tc>
        <w:tc>
          <w:tcPr>
            <w:tcW w:w="1007" w:type="dxa"/>
            <w:vMerge/>
            <w:tcBorders>
              <w:top w:val="single" w:sz="4" w:space="0" w:color="auto"/>
              <w:left w:val="single" w:sz="4" w:space="0" w:color="auto"/>
              <w:bottom w:val="single" w:sz="4" w:space="0" w:color="auto"/>
              <w:right w:val="single" w:sz="4" w:space="0" w:color="auto"/>
            </w:tcBorders>
          </w:tcPr>
          <w:p w14:paraId="6330ECF1"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66FEB6D6" w14:textId="1EBBE1C4" w:rsidR="002D35BD" w:rsidRPr="002D35BD" w:rsidRDefault="002D35BD" w:rsidP="002D35BD">
            <w:pPr>
              <w:rPr>
                <w:rFonts w:cstheme="minorHAnsi"/>
              </w:rPr>
            </w:pPr>
            <w:r w:rsidRPr="002D35BD">
              <w:rPr>
                <w:rFonts w:cstheme="minorHAnsi"/>
              </w:rPr>
              <w:t>5</w:t>
            </w:r>
            <w:r w:rsidR="0043753A">
              <w:rPr>
                <w:rFonts w:cstheme="minorHAnsi"/>
              </w:rPr>
              <w:t xml:space="preserve"> (4)</w:t>
            </w:r>
          </w:p>
        </w:tc>
        <w:tc>
          <w:tcPr>
            <w:tcW w:w="1134" w:type="dxa"/>
            <w:tcBorders>
              <w:top w:val="single" w:sz="4" w:space="0" w:color="auto"/>
              <w:left w:val="single" w:sz="4" w:space="0" w:color="auto"/>
              <w:bottom w:val="single" w:sz="4" w:space="0" w:color="auto"/>
              <w:right w:val="nil"/>
            </w:tcBorders>
            <w:shd w:val="clear" w:color="auto" w:fill="auto"/>
            <w:vAlign w:val="bottom"/>
          </w:tcPr>
          <w:p w14:paraId="54B90F0D" w14:textId="7D697783" w:rsidR="002D35BD" w:rsidRPr="002D35BD" w:rsidRDefault="002D35BD" w:rsidP="002D35BD">
            <w:pPr>
              <w:rPr>
                <w:rFonts w:cstheme="minorHAnsi"/>
              </w:rPr>
            </w:pPr>
            <w:r w:rsidRPr="002D35BD">
              <w:rPr>
                <w:rFonts w:cstheme="minorHAnsi"/>
                <w:color w:val="000000"/>
              </w:rPr>
              <w:t>100</w:t>
            </w:r>
          </w:p>
        </w:tc>
        <w:tc>
          <w:tcPr>
            <w:tcW w:w="3104" w:type="dxa"/>
            <w:vMerge/>
          </w:tcPr>
          <w:p w14:paraId="5A83415C" w14:textId="77777777" w:rsidR="002D35BD" w:rsidRDefault="002D35BD" w:rsidP="002D35BD"/>
        </w:tc>
        <w:tc>
          <w:tcPr>
            <w:tcW w:w="4908" w:type="dxa"/>
            <w:vMerge/>
          </w:tcPr>
          <w:p w14:paraId="786F45E1" w14:textId="77777777" w:rsidR="002D35BD" w:rsidRDefault="002D35BD" w:rsidP="002D35BD"/>
        </w:tc>
      </w:tr>
      <w:tr w:rsidR="002D35BD" w14:paraId="03F4DF49" w14:textId="77777777" w:rsidTr="002D35BD">
        <w:tc>
          <w:tcPr>
            <w:tcW w:w="1314" w:type="dxa"/>
          </w:tcPr>
          <w:p w14:paraId="173D7E5B" w14:textId="41CFA509" w:rsidR="002D35BD" w:rsidRDefault="002D35BD" w:rsidP="002D35BD">
            <w:r>
              <w:t>6 (6)</w:t>
            </w:r>
          </w:p>
        </w:tc>
        <w:tc>
          <w:tcPr>
            <w:tcW w:w="1682" w:type="dxa"/>
            <w:tcBorders>
              <w:top w:val="single" w:sz="4" w:space="0" w:color="auto"/>
              <w:left w:val="nil"/>
              <w:bottom w:val="single" w:sz="4" w:space="0" w:color="auto"/>
              <w:right w:val="single" w:sz="4" w:space="0" w:color="auto"/>
            </w:tcBorders>
            <w:shd w:val="clear" w:color="auto" w:fill="auto"/>
            <w:vAlign w:val="bottom"/>
          </w:tcPr>
          <w:p w14:paraId="2D2533FD" w14:textId="11D23ED8" w:rsidR="002D35BD" w:rsidRPr="002D35BD" w:rsidRDefault="002D35BD" w:rsidP="002D35BD">
            <w:pPr>
              <w:rPr>
                <w:rFonts w:cstheme="minorHAnsi"/>
              </w:rPr>
            </w:pPr>
            <w:r w:rsidRPr="002D35BD">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7483CF7" w14:textId="6BB4E9F6" w:rsidR="002D35BD" w:rsidRPr="002D35BD" w:rsidRDefault="002D35BD" w:rsidP="002D35BD">
            <w:pPr>
              <w:rPr>
                <w:rFonts w:cstheme="minorHAnsi"/>
              </w:rPr>
            </w:pPr>
            <w:r w:rsidRPr="002D35BD">
              <w:rPr>
                <w:rFonts w:cstheme="minorHAnsi"/>
                <w:color w:val="000000"/>
              </w:rPr>
              <w:t>£226.8 (£225.7)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9579137" w14:textId="679DD8B8" w:rsidR="002D35BD" w:rsidRPr="002D35BD" w:rsidRDefault="002D35BD" w:rsidP="002D35BD">
            <w:pPr>
              <w:rPr>
                <w:rFonts w:cstheme="minorHAnsi"/>
              </w:rPr>
            </w:pPr>
            <w:r w:rsidRPr="002D35BD">
              <w:rPr>
                <w:rFonts w:cstheme="minorHAnsi"/>
                <w:color w:val="000000"/>
              </w:rPr>
              <w:t>12.2</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2F6AE1BE" w14:textId="7DFD87A6" w:rsidR="002D35BD" w:rsidRPr="002D35BD" w:rsidRDefault="002D35BD" w:rsidP="002D35BD">
            <w:pPr>
              <w:rPr>
                <w:rFonts w:cstheme="minorHAnsi"/>
              </w:rPr>
            </w:pPr>
            <w:r w:rsidRPr="002D35BD">
              <w:rPr>
                <w:rFonts w:cstheme="minorHAnsi"/>
                <w:color w:val="000000"/>
              </w:rPr>
              <w:t>52,919</w:t>
            </w:r>
          </w:p>
        </w:tc>
        <w:tc>
          <w:tcPr>
            <w:tcW w:w="1007" w:type="dxa"/>
            <w:vMerge/>
            <w:tcBorders>
              <w:top w:val="single" w:sz="4" w:space="0" w:color="auto"/>
              <w:left w:val="single" w:sz="4" w:space="0" w:color="auto"/>
              <w:bottom w:val="single" w:sz="4" w:space="0" w:color="auto"/>
              <w:right w:val="single" w:sz="4" w:space="0" w:color="auto"/>
            </w:tcBorders>
          </w:tcPr>
          <w:p w14:paraId="32630C1E"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1CD4A96D" w14:textId="47B7D4E5" w:rsidR="002D35BD" w:rsidRPr="002D35BD" w:rsidRDefault="002D35BD" w:rsidP="002D35BD">
            <w:pPr>
              <w:rPr>
                <w:rFonts w:cstheme="minorHAnsi"/>
              </w:rPr>
            </w:pPr>
            <w:r w:rsidRPr="002D35BD">
              <w:rPr>
                <w:rFonts w:cstheme="minorHAnsi"/>
              </w:rPr>
              <w:t>3</w:t>
            </w:r>
            <w:r w:rsidR="0043753A">
              <w:rPr>
                <w:rFonts w:cstheme="minorHAnsi"/>
              </w:rPr>
              <w:t xml:space="preserve"> (3)</w:t>
            </w:r>
          </w:p>
        </w:tc>
        <w:tc>
          <w:tcPr>
            <w:tcW w:w="1134" w:type="dxa"/>
            <w:tcBorders>
              <w:top w:val="single" w:sz="4" w:space="0" w:color="auto"/>
              <w:left w:val="single" w:sz="4" w:space="0" w:color="auto"/>
              <w:bottom w:val="single" w:sz="4" w:space="0" w:color="auto"/>
              <w:right w:val="nil"/>
            </w:tcBorders>
            <w:shd w:val="clear" w:color="auto" w:fill="auto"/>
            <w:vAlign w:val="bottom"/>
          </w:tcPr>
          <w:p w14:paraId="25747BDD" w14:textId="521AD839" w:rsidR="002D35BD" w:rsidRPr="002D35BD" w:rsidRDefault="002D35BD" w:rsidP="002D35BD">
            <w:pPr>
              <w:rPr>
                <w:rFonts w:cstheme="minorHAnsi"/>
              </w:rPr>
            </w:pPr>
            <w:r w:rsidRPr="002D35BD">
              <w:rPr>
                <w:rFonts w:cstheme="minorHAnsi"/>
                <w:color w:val="000000"/>
              </w:rPr>
              <w:t>143</w:t>
            </w:r>
          </w:p>
        </w:tc>
        <w:tc>
          <w:tcPr>
            <w:tcW w:w="3104" w:type="dxa"/>
            <w:vMerge/>
          </w:tcPr>
          <w:p w14:paraId="00C088C8" w14:textId="77777777" w:rsidR="002D35BD" w:rsidRDefault="002D35BD" w:rsidP="002D35BD"/>
        </w:tc>
        <w:tc>
          <w:tcPr>
            <w:tcW w:w="4908" w:type="dxa"/>
            <w:vMerge/>
          </w:tcPr>
          <w:p w14:paraId="754C1CAC" w14:textId="77777777" w:rsidR="002D35BD" w:rsidRDefault="002D35BD" w:rsidP="002D35BD"/>
        </w:tc>
      </w:tr>
      <w:tr w:rsidR="002D35BD" w14:paraId="731FCCC3" w14:textId="77777777" w:rsidTr="002D35BD">
        <w:tc>
          <w:tcPr>
            <w:tcW w:w="1314" w:type="dxa"/>
            <w:tcBorders>
              <w:bottom w:val="single" w:sz="4" w:space="0" w:color="auto"/>
            </w:tcBorders>
          </w:tcPr>
          <w:p w14:paraId="6426A8A4" w14:textId="10762BBF" w:rsidR="002D35BD" w:rsidRDefault="002D35BD" w:rsidP="002D35BD">
            <w:r>
              <w:t>7 (7)</w:t>
            </w:r>
          </w:p>
        </w:tc>
        <w:tc>
          <w:tcPr>
            <w:tcW w:w="1682" w:type="dxa"/>
            <w:tcBorders>
              <w:top w:val="single" w:sz="4" w:space="0" w:color="auto"/>
              <w:left w:val="nil"/>
              <w:bottom w:val="single" w:sz="4" w:space="0" w:color="auto"/>
              <w:right w:val="single" w:sz="4" w:space="0" w:color="auto"/>
            </w:tcBorders>
            <w:shd w:val="clear" w:color="auto" w:fill="auto"/>
            <w:vAlign w:val="bottom"/>
          </w:tcPr>
          <w:p w14:paraId="3A209377" w14:textId="21C11E2B" w:rsidR="002D35BD" w:rsidRPr="002D35BD" w:rsidRDefault="002D35BD" w:rsidP="002D35BD">
            <w:pPr>
              <w:rPr>
                <w:rFonts w:cstheme="minorHAnsi"/>
              </w:rPr>
            </w:pPr>
            <w:r w:rsidRPr="002D35BD">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EC607B0" w14:textId="40473F9F" w:rsidR="002D35BD" w:rsidRPr="002D35BD" w:rsidRDefault="002D35BD" w:rsidP="002D35BD">
            <w:pPr>
              <w:rPr>
                <w:rFonts w:cstheme="minorHAnsi"/>
              </w:rPr>
            </w:pPr>
            <w:r w:rsidRPr="002D35BD">
              <w:rPr>
                <w:rFonts w:cstheme="minorHAnsi"/>
                <w:color w:val="000000"/>
              </w:rPr>
              <w:t>£220.2 (£208.6)</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E219B0A" w14:textId="2D900667" w:rsidR="002D35BD" w:rsidRPr="002D35BD" w:rsidRDefault="002D35BD" w:rsidP="002D35BD">
            <w:pPr>
              <w:rPr>
                <w:rFonts w:cstheme="minorHAnsi"/>
              </w:rPr>
            </w:pPr>
            <w:r w:rsidRPr="002D35BD">
              <w:rPr>
                <w:rFonts w:cstheme="minorHAnsi"/>
                <w:color w:val="000000"/>
              </w:rPr>
              <w:t>14.6</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4A45C000" w14:textId="76C730DB" w:rsidR="002D35BD" w:rsidRPr="002D35BD" w:rsidRDefault="002D35BD" w:rsidP="002D35BD">
            <w:pPr>
              <w:rPr>
                <w:rFonts w:cstheme="minorHAnsi"/>
              </w:rPr>
            </w:pPr>
            <w:r w:rsidRPr="002D35BD">
              <w:rPr>
                <w:rFonts w:cstheme="minorHAnsi"/>
                <w:color w:val="000000"/>
              </w:rPr>
              <w:t>65,625</w:t>
            </w:r>
          </w:p>
        </w:tc>
        <w:tc>
          <w:tcPr>
            <w:tcW w:w="1007" w:type="dxa"/>
            <w:vMerge/>
            <w:tcBorders>
              <w:top w:val="single" w:sz="4" w:space="0" w:color="auto"/>
              <w:left w:val="single" w:sz="4" w:space="0" w:color="auto"/>
              <w:bottom w:val="single" w:sz="4" w:space="0" w:color="auto"/>
              <w:right w:val="single" w:sz="4" w:space="0" w:color="auto"/>
            </w:tcBorders>
          </w:tcPr>
          <w:p w14:paraId="70E39305" w14:textId="77777777" w:rsidR="002D35BD" w:rsidRPr="002D35BD" w:rsidRDefault="002D35BD" w:rsidP="002D35BD">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658C0A8B" w14:textId="6FAB4436" w:rsidR="002D35BD" w:rsidRPr="002D35BD" w:rsidRDefault="002D35BD" w:rsidP="002D35BD">
            <w:pPr>
              <w:rPr>
                <w:rFonts w:cstheme="minorHAnsi"/>
              </w:rPr>
            </w:pPr>
            <w:r w:rsidRPr="002D35BD">
              <w:rPr>
                <w:rFonts w:cstheme="minorHAnsi"/>
              </w:rPr>
              <w:t>2</w:t>
            </w:r>
            <w:r w:rsidR="0043753A">
              <w:rPr>
                <w:rFonts w:cstheme="minorHAnsi"/>
              </w:rPr>
              <w:t xml:space="preserve"> (2)</w:t>
            </w:r>
          </w:p>
        </w:tc>
        <w:tc>
          <w:tcPr>
            <w:tcW w:w="1134" w:type="dxa"/>
            <w:tcBorders>
              <w:top w:val="single" w:sz="4" w:space="0" w:color="auto"/>
              <w:left w:val="single" w:sz="4" w:space="0" w:color="auto"/>
              <w:bottom w:val="single" w:sz="4" w:space="0" w:color="auto"/>
              <w:right w:val="nil"/>
            </w:tcBorders>
            <w:shd w:val="clear" w:color="auto" w:fill="auto"/>
            <w:vAlign w:val="bottom"/>
          </w:tcPr>
          <w:p w14:paraId="487D6DB5" w14:textId="6AE5D174" w:rsidR="002D35BD" w:rsidRPr="002D35BD" w:rsidRDefault="002D35BD" w:rsidP="002D35BD">
            <w:pPr>
              <w:rPr>
                <w:rFonts w:cstheme="minorHAnsi"/>
              </w:rPr>
            </w:pPr>
            <w:r w:rsidRPr="002D35BD">
              <w:rPr>
                <w:rFonts w:cstheme="minorHAnsi"/>
                <w:color w:val="000000"/>
              </w:rPr>
              <w:t>156</w:t>
            </w:r>
          </w:p>
        </w:tc>
        <w:tc>
          <w:tcPr>
            <w:tcW w:w="3104" w:type="dxa"/>
            <w:vMerge/>
            <w:tcBorders>
              <w:bottom w:val="single" w:sz="4" w:space="0" w:color="auto"/>
            </w:tcBorders>
          </w:tcPr>
          <w:p w14:paraId="0EE69239" w14:textId="77777777" w:rsidR="002D35BD" w:rsidRDefault="002D35BD" w:rsidP="002D35BD"/>
        </w:tc>
        <w:tc>
          <w:tcPr>
            <w:tcW w:w="4908" w:type="dxa"/>
            <w:vMerge/>
            <w:tcBorders>
              <w:bottom w:val="single" w:sz="4" w:space="0" w:color="auto"/>
            </w:tcBorders>
          </w:tcPr>
          <w:p w14:paraId="3E84438A" w14:textId="77777777" w:rsidR="002D35BD" w:rsidRDefault="002D35BD" w:rsidP="002D35BD"/>
        </w:tc>
      </w:tr>
    </w:tbl>
    <w:p w14:paraId="7B8DE78D" w14:textId="77777777" w:rsidR="00CF273D" w:rsidRDefault="00CF273D"/>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104"/>
        <w:gridCol w:w="4908"/>
      </w:tblGrid>
      <w:tr w:rsidR="002D35BD" w14:paraId="35927A46" w14:textId="77777777" w:rsidTr="005857FD">
        <w:tc>
          <w:tcPr>
            <w:tcW w:w="20921" w:type="dxa"/>
            <w:gridSpan w:val="10"/>
          </w:tcPr>
          <w:p w14:paraId="79DD304A" w14:textId="71F2ED3E" w:rsidR="002D35BD" w:rsidRPr="008855E6" w:rsidRDefault="002D35BD" w:rsidP="005857FD">
            <w:pPr>
              <w:rPr>
                <w:b/>
                <w:bCs/>
              </w:rPr>
            </w:pPr>
            <w:r w:rsidRPr="008855E6">
              <w:rPr>
                <w:b/>
                <w:bCs/>
                <w:sz w:val="28"/>
                <w:szCs w:val="28"/>
              </w:rPr>
              <w:t xml:space="preserve">OFLOG Performance Indicators: Financial Resilience – Lincolnshire District Councils – Metric </w:t>
            </w:r>
            <w:r>
              <w:rPr>
                <w:b/>
                <w:bCs/>
                <w:sz w:val="28"/>
                <w:szCs w:val="28"/>
              </w:rPr>
              <w:t>3</w:t>
            </w:r>
            <w:r>
              <w:rPr>
                <w:b/>
                <w:bCs/>
                <w:sz w:val="28"/>
                <w:szCs w:val="28"/>
              </w:rPr>
              <w:t>.5</w:t>
            </w:r>
            <w:r>
              <w:rPr>
                <w:b/>
                <w:bCs/>
                <w:sz w:val="28"/>
                <w:szCs w:val="28"/>
              </w:rPr>
              <w:t>: Total core spending power per dwelling</w:t>
            </w:r>
            <w:r>
              <w:rPr>
                <w:b/>
                <w:bCs/>
                <w:sz w:val="28"/>
                <w:szCs w:val="28"/>
              </w:rPr>
              <w:t xml:space="preserve"> 2024/25</w:t>
            </w:r>
          </w:p>
        </w:tc>
      </w:tr>
      <w:tr w:rsidR="002D35BD" w14:paraId="06BB7C5C" w14:textId="77777777" w:rsidTr="005857FD">
        <w:tc>
          <w:tcPr>
            <w:tcW w:w="20921" w:type="dxa"/>
            <w:gridSpan w:val="10"/>
          </w:tcPr>
          <w:p w14:paraId="4F699EC7" w14:textId="35A71D8B" w:rsidR="002D35BD" w:rsidRPr="00CF273D" w:rsidRDefault="002D35BD" w:rsidP="005857FD">
            <w:pPr>
              <w:rPr>
                <w:b/>
                <w:bCs/>
                <w:sz w:val="24"/>
                <w:szCs w:val="24"/>
              </w:rPr>
            </w:pPr>
            <w:r w:rsidRPr="00CF273D">
              <w:rPr>
                <w:b/>
                <w:bCs/>
                <w:sz w:val="24"/>
                <w:szCs w:val="24"/>
              </w:rPr>
              <w:t>All data is for the Financial Year 2022/23. Data for the previous financial year 2021/22 is in brackets. For finance data, national rankings and decile placings are calculated from the pool of English district councils. Counties, unitaries, metropolitans and London borough councils are excluded. Authorities where data is lacking for a specific metric are also excluded. For this metric the total pool is 1</w:t>
            </w:r>
            <w:r>
              <w:rPr>
                <w:b/>
                <w:bCs/>
                <w:sz w:val="24"/>
                <w:szCs w:val="24"/>
              </w:rPr>
              <w:t>64</w:t>
            </w:r>
            <w:r w:rsidRPr="00CF273D">
              <w:rPr>
                <w:b/>
                <w:bCs/>
                <w:sz w:val="24"/>
                <w:szCs w:val="24"/>
              </w:rPr>
              <w:t xml:space="preserve"> with 1st being the best performer. </w:t>
            </w:r>
          </w:p>
          <w:p w14:paraId="21FD1FD9" w14:textId="77777777" w:rsidR="002D35BD" w:rsidRPr="008855E6" w:rsidRDefault="002D35BD" w:rsidP="005857FD">
            <w:pPr>
              <w:rPr>
                <w:b/>
                <w:bCs/>
                <w:sz w:val="24"/>
                <w:szCs w:val="24"/>
              </w:rPr>
            </w:pPr>
            <w:r w:rsidRPr="00CF273D">
              <w:rPr>
                <w:b/>
                <w:bCs/>
                <w:sz w:val="24"/>
                <w:szCs w:val="24"/>
              </w:rPr>
              <w:t>Decile Key: Decile 9 – in the top 20% of English local authorities, Decile 2 – in the bottom 20% of English local authorities, Deciles 6+ in the top half of English local authorities for given indicator.</w:t>
            </w:r>
          </w:p>
        </w:tc>
      </w:tr>
      <w:tr w:rsidR="002D35BD" w14:paraId="7126455D" w14:textId="77777777" w:rsidTr="0043753A">
        <w:tc>
          <w:tcPr>
            <w:tcW w:w="1314" w:type="dxa"/>
            <w:tcBorders>
              <w:bottom w:val="single" w:sz="4" w:space="0" w:color="auto"/>
            </w:tcBorders>
          </w:tcPr>
          <w:p w14:paraId="619E958F" w14:textId="77777777" w:rsidR="002D35BD" w:rsidRPr="008855E6" w:rsidRDefault="002D35BD" w:rsidP="005857FD">
            <w:pPr>
              <w:rPr>
                <w:b/>
                <w:bCs/>
              </w:rPr>
            </w:pPr>
            <w:r w:rsidRPr="008855E6">
              <w:rPr>
                <w:b/>
                <w:bCs/>
              </w:rPr>
              <w:t>Lincolnshire Ranking</w:t>
            </w:r>
          </w:p>
        </w:tc>
        <w:tc>
          <w:tcPr>
            <w:tcW w:w="1682" w:type="dxa"/>
            <w:tcBorders>
              <w:bottom w:val="single" w:sz="4" w:space="0" w:color="auto"/>
            </w:tcBorders>
          </w:tcPr>
          <w:p w14:paraId="1BDC7B5F" w14:textId="77777777" w:rsidR="002D35BD" w:rsidRPr="008855E6" w:rsidRDefault="002D35BD" w:rsidP="005857FD">
            <w:pPr>
              <w:rPr>
                <w:b/>
                <w:bCs/>
              </w:rPr>
            </w:pPr>
            <w:r w:rsidRPr="008855E6">
              <w:rPr>
                <w:b/>
                <w:bCs/>
              </w:rPr>
              <w:t>Authority</w:t>
            </w:r>
          </w:p>
        </w:tc>
        <w:tc>
          <w:tcPr>
            <w:tcW w:w="1133" w:type="dxa"/>
            <w:tcBorders>
              <w:bottom w:val="single" w:sz="4" w:space="0" w:color="auto"/>
            </w:tcBorders>
          </w:tcPr>
          <w:p w14:paraId="7475BEFB" w14:textId="77777777" w:rsidR="002D35BD" w:rsidRPr="008855E6" w:rsidRDefault="002D35BD" w:rsidP="005857FD">
            <w:pPr>
              <w:rPr>
                <w:b/>
                <w:bCs/>
              </w:rPr>
            </w:pPr>
            <w:r w:rsidRPr="008855E6">
              <w:rPr>
                <w:b/>
                <w:bCs/>
              </w:rPr>
              <w:t>Value</w:t>
            </w:r>
          </w:p>
        </w:tc>
        <w:tc>
          <w:tcPr>
            <w:tcW w:w="2689" w:type="dxa"/>
            <w:tcBorders>
              <w:bottom w:val="single" w:sz="4" w:space="0" w:color="auto"/>
            </w:tcBorders>
          </w:tcPr>
          <w:p w14:paraId="642C8A5C" w14:textId="77777777" w:rsidR="002D35BD" w:rsidRPr="008855E6" w:rsidRDefault="002D35BD" w:rsidP="005857FD">
            <w:pPr>
              <w:rPr>
                <w:b/>
                <w:bCs/>
              </w:rPr>
            </w:pPr>
            <w:r>
              <w:rPr>
                <w:b/>
                <w:bCs/>
              </w:rPr>
              <w:t>Total Core Spending Power (£ millions)</w:t>
            </w:r>
          </w:p>
        </w:tc>
        <w:tc>
          <w:tcPr>
            <w:tcW w:w="2391" w:type="dxa"/>
            <w:tcBorders>
              <w:bottom w:val="single" w:sz="4" w:space="0" w:color="auto"/>
            </w:tcBorders>
          </w:tcPr>
          <w:p w14:paraId="1BC4C9E9" w14:textId="729ADA5F" w:rsidR="002D35BD" w:rsidRPr="008855E6" w:rsidRDefault="002D35BD" w:rsidP="005857FD">
            <w:pPr>
              <w:rPr>
                <w:b/>
                <w:bCs/>
              </w:rPr>
            </w:pPr>
            <w:r>
              <w:rPr>
                <w:b/>
                <w:bCs/>
              </w:rPr>
              <w:t>Total number of dwellings (September 202</w:t>
            </w:r>
            <w:r w:rsidR="0043753A">
              <w:rPr>
                <w:b/>
                <w:bCs/>
              </w:rPr>
              <w:t>3</w:t>
            </w:r>
            <w:r>
              <w:rPr>
                <w:b/>
                <w:bCs/>
              </w:rPr>
              <w:t>)</w:t>
            </w:r>
          </w:p>
        </w:tc>
        <w:tc>
          <w:tcPr>
            <w:tcW w:w="1007" w:type="dxa"/>
            <w:tcBorders>
              <w:bottom w:val="single" w:sz="4" w:space="0" w:color="auto"/>
            </w:tcBorders>
          </w:tcPr>
          <w:p w14:paraId="6782A4FE" w14:textId="77777777" w:rsidR="002D35BD" w:rsidRPr="008855E6" w:rsidRDefault="002D35BD" w:rsidP="005857FD">
            <w:pPr>
              <w:rPr>
                <w:b/>
                <w:bCs/>
              </w:rPr>
            </w:pPr>
            <w:r w:rsidRPr="008855E6">
              <w:rPr>
                <w:b/>
                <w:bCs/>
              </w:rPr>
              <w:t>Data Polarity</w:t>
            </w:r>
          </w:p>
        </w:tc>
        <w:tc>
          <w:tcPr>
            <w:tcW w:w="1559" w:type="dxa"/>
            <w:tcBorders>
              <w:bottom w:val="single" w:sz="4" w:space="0" w:color="auto"/>
            </w:tcBorders>
          </w:tcPr>
          <w:p w14:paraId="1A008AB4" w14:textId="77777777" w:rsidR="002D35BD" w:rsidRPr="008855E6" w:rsidRDefault="002D35BD" w:rsidP="005857FD">
            <w:pPr>
              <w:rPr>
                <w:b/>
                <w:bCs/>
              </w:rPr>
            </w:pPr>
            <w:r w:rsidRPr="008855E6">
              <w:rPr>
                <w:b/>
                <w:bCs/>
              </w:rPr>
              <w:t>National Decile Placing</w:t>
            </w:r>
          </w:p>
        </w:tc>
        <w:tc>
          <w:tcPr>
            <w:tcW w:w="1134" w:type="dxa"/>
            <w:tcBorders>
              <w:bottom w:val="single" w:sz="4" w:space="0" w:color="auto"/>
            </w:tcBorders>
          </w:tcPr>
          <w:p w14:paraId="21D5DA7B" w14:textId="77777777" w:rsidR="002D35BD" w:rsidRPr="008855E6" w:rsidRDefault="002D35BD" w:rsidP="005857FD">
            <w:pPr>
              <w:rPr>
                <w:b/>
                <w:bCs/>
              </w:rPr>
            </w:pPr>
            <w:r w:rsidRPr="008855E6">
              <w:rPr>
                <w:b/>
                <w:bCs/>
              </w:rPr>
              <w:t>National Ranking</w:t>
            </w:r>
          </w:p>
        </w:tc>
        <w:tc>
          <w:tcPr>
            <w:tcW w:w="3104" w:type="dxa"/>
            <w:tcBorders>
              <w:bottom w:val="single" w:sz="4" w:space="0" w:color="auto"/>
            </w:tcBorders>
          </w:tcPr>
          <w:p w14:paraId="242B7847" w14:textId="77777777" w:rsidR="002D35BD" w:rsidRPr="008855E6" w:rsidRDefault="002D35BD" w:rsidP="005857FD">
            <w:pPr>
              <w:rPr>
                <w:b/>
                <w:bCs/>
              </w:rPr>
            </w:pPr>
            <w:r>
              <w:rPr>
                <w:b/>
                <w:bCs/>
              </w:rPr>
              <w:t>National &amp; Regional Context</w:t>
            </w:r>
          </w:p>
        </w:tc>
        <w:tc>
          <w:tcPr>
            <w:tcW w:w="4908" w:type="dxa"/>
            <w:tcBorders>
              <w:bottom w:val="single" w:sz="4" w:space="0" w:color="auto"/>
            </w:tcBorders>
          </w:tcPr>
          <w:p w14:paraId="32B1FC3C" w14:textId="77777777" w:rsidR="002D35BD" w:rsidRPr="008855E6" w:rsidRDefault="002D35BD" w:rsidP="005857FD">
            <w:pPr>
              <w:rPr>
                <w:b/>
                <w:bCs/>
              </w:rPr>
            </w:pPr>
            <w:r w:rsidRPr="008855E6">
              <w:rPr>
                <w:b/>
                <w:bCs/>
              </w:rPr>
              <w:t>Source</w:t>
            </w:r>
            <w:r>
              <w:rPr>
                <w:b/>
                <w:bCs/>
              </w:rPr>
              <w:t xml:space="preserve"> &amp; Explanatory Notes</w:t>
            </w:r>
          </w:p>
        </w:tc>
      </w:tr>
      <w:tr w:rsidR="00CB64F6" w14:paraId="7253A099" w14:textId="77777777" w:rsidTr="0043753A">
        <w:tc>
          <w:tcPr>
            <w:tcW w:w="1314" w:type="dxa"/>
            <w:tcBorders>
              <w:top w:val="single" w:sz="4" w:space="0" w:color="auto"/>
            </w:tcBorders>
          </w:tcPr>
          <w:p w14:paraId="643FEA22" w14:textId="27AB3373" w:rsidR="00CB64F6" w:rsidRDefault="00CB64F6" w:rsidP="00CB64F6">
            <w:r>
              <w:t>1</w:t>
            </w:r>
          </w:p>
        </w:tc>
        <w:tc>
          <w:tcPr>
            <w:tcW w:w="1682" w:type="dxa"/>
            <w:tcBorders>
              <w:top w:val="single" w:sz="4" w:space="0" w:color="auto"/>
              <w:left w:val="nil"/>
              <w:bottom w:val="single" w:sz="4" w:space="0" w:color="auto"/>
              <w:right w:val="single" w:sz="4" w:space="0" w:color="auto"/>
            </w:tcBorders>
            <w:shd w:val="clear" w:color="auto" w:fill="auto"/>
            <w:vAlign w:val="bottom"/>
          </w:tcPr>
          <w:p w14:paraId="0306032E" w14:textId="5599BE11" w:rsidR="00CB64F6" w:rsidRPr="0043753A" w:rsidRDefault="00CB64F6" w:rsidP="00CB64F6">
            <w:pPr>
              <w:rPr>
                <w:rFonts w:cstheme="minorHAnsi"/>
              </w:rPr>
            </w:pPr>
            <w:r w:rsidRPr="0043753A">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8B4B39C" w14:textId="19C6047F" w:rsidR="00CB64F6" w:rsidRPr="0043753A" w:rsidRDefault="00CB64F6" w:rsidP="00CB64F6">
            <w:pPr>
              <w:rPr>
                <w:rFonts w:cstheme="minorHAnsi"/>
              </w:rPr>
            </w:pPr>
            <w:r w:rsidRPr="0043753A">
              <w:rPr>
                <w:rFonts w:cstheme="minorHAnsi"/>
                <w:color w:val="000000"/>
              </w:rPr>
              <w:t>£323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75B2E7B" w14:textId="6E772B2B" w:rsidR="00CB64F6" w:rsidRPr="0043753A" w:rsidRDefault="00CB64F6" w:rsidP="00CB64F6">
            <w:pPr>
              <w:rPr>
                <w:rFonts w:cstheme="minorHAnsi"/>
              </w:rPr>
            </w:pPr>
            <w:r w:rsidRPr="0043753A">
              <w:rPr>
                <w:rFonts w:cstheme="minorHAnsi"/>
                <w:color w:val="000000"/>
              </w:rPr>
              <w:t>10.2</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3013081D" w14:textId="5C9A7684" w:rsidR="00CB64F6" w:rsidRPr="0043753A" w:rsidRDefault="0043753A" w:rsidP="00CB64F6">
            <w:pPr>
              <w:rPr>
                <w:rFonts w:cstheme="minorHAnsi"/>
              </w:rPr>
            </w:pPr>
            <w:r w:rsidRPr="0043753A">
              <w:rPr>
                <w:rFonts w:cstheme="minorHAnsi"/>
              </w:rPr>
              <w:t>31,596</w:t>
            </w:r>
          </w:p>
        </w:tc>
        <w:tc>
          <w:tcPr>
            <w:tcW w:w="1007" w:type="dxa"/>
            <w:vMerge w:val="restart"/>
            <w:tcBorders>
              <w:top w:val="single" w:sz="4" w:space="0" w:color="auto"/>
              <w:left w:val="single" w:sz="4" w:space="0" w:color="auto"/>
              <w:bottom w:val="single" w:sz="4" w:space="0" w:color="auto"/>
              <w:right w:val="single" w:sz="4" w:space="0" w:color="auto"/>
            </w:tcBorders>
          </w:tcPr>
          <w:p w14:paraId="652B1BCC" w14:textId="77777777" w:rsidR="00CB64F6" w:rsidRPr="0043753A" w:rsidRDefault="00CB64F6" w:rsidP="00CB64F6">
            <w:pPr>
              <w:rPr>
                <w:rFonts w:cstheme="minorHAnsi"/>
              </w:rPr>
            </w:pPr>
            <w:r w:rsidRPr="0043753A">
              <w:rPr>
                <w:rFonts w:cstheme="minorHAnsi"/>
              </w:rPr>
              <w:t>Highest to Lowest</w:t>
            </w:r>
          </w:p>
        </w:tc>
        <w:tc>
          <w:tcPr>
            <w:tcW w:w="1559" w:type="dxa"/>
            <w:tcBorders>
              <w:top w:val="single" w:sz="4" w:space="0" w:color="auto"/>
              <w:left w:val="single" w:sz="4" w:space="0" w:color="auto"/>
              <w:bottom w:val="single" w:sz="4" w:space="0" w:color="auto"/>
              <w:right w:val="single" w:sz="4" w:space="0" w:color="auto"/>
            </w:tcBorders>
          </w:tcPr>
          <w:p w14:paraId="41D64417" w14:textId="29DD5A09" w:rsidR="00CB64F6" w:rsidRPr="0043753A" w:rsidRDefault="0043753A" w:rsidP="00CB64F6">
            <w:pPr>
              <w:rPr>
                <w:rFonts w:cstheme="minorHAnsi"/>
              </w:rPr>
            </w:pPr>
            <w:r w:rsidRPr="0043753A">
              <w:rPr>
                <w:rFonts w:cstheme="minorHAnsi"/>
              </w:rPr>
              <w:t>9</w:t>
            </w:r>
          </w:p>
        </w:tc>
        <w:tc>
          <w:tcPr>
            <w:tcW w:w="1134" w:type="dxa"/>
            <w:tcBorders>
              <w:top w:val="single" w:sz="4" w:space="0" w:color="auto"/>
              <w:left w:val="single" w:sz="4" w:space="0" w:color="auto"/>
              <w:bottom w:val="single" w:sz="4" w:space="0" w:color="auto"/>
              <w:right w:val="nil"/>
            </w:tcBorders>
            <w:shd w:val="clear" w:color="auto" w:fill="auto"/>
            <w:vAlign w:val="bottom"/>
          </w:tcPr>
          <w:p w14:paraId="53FEFE2C" w14:textId="2A746317" w:rsidR="00CB64F6" w:rsidRPr="0043753A" w:rsidRDefault="00CB64F6" w:rsidP="00CB64F6">
            <w:pPr>
              <w:rPr>
                <w:rFonts w:cstheme="minorHAnsi"/>
              </w:rPr>
            </w:pPr>
            <w:r w:rsidRPr="0043753A">
              <w:rPr>
                <w:rFonts w:cstheme="minorHAnsi"/>
                <w:color w:val="000000"/>
              </w:rPr>
              <w:t>24</w:t>
            </w:r>
          </w:p>
        </w:tc>
        <w:tc>
          <w:tcPr>
            <w:tcW w:w="3104" w:type="dxa"/>
            <w:vMerge w:val="restart"/>
            <w:tcBorders>
              <w:top w:val="single" w:sz="4" w:space="0" w:color="auto"/>
            </w:tcBorders>
          </w:tcPr>
          <w:p w14:paraId="7869B353" w14:textId="5CFB2593" w:rsidR="00CB64F6" w:rsidRDefault="00CB64F6" w:rsidP="00CB64F6">
            <w:r w:rsidRPr="002F2DAC">
              <w:t>The median for district councils in England was £</w:t>
            </w:r>
            <w:r>
              <w:t>2</w:t>
            </w:r>
            <w:r w:rsidR="0043753A">
              <w:t>76</w:t>
            </w:r>
            <w:r w:rsidRPr="002F2DAC">
              <w:t>.</w:t>
            </w:r>
            <w:r w:rsidR="0043753A">
              <w:t>5.</w:t>
            </w:r>
            <w:r w:rsidRPr="002F2DAC">
              <w:t xml:space="preserve"> The median for districts in Lincolnshire was £</w:t>
            </w:r>
            <w:r>
              <w:t>2</w:t>
            </w:r>
            <w:r w:rsidR="0043753A">
              <w:t>91</w:t>
            </w:r>
            <w:r w:rsidRPr="002F2DAC">
              <w:t>. The median for authorities in the East Midlands was £2</w:t>
            </w:r>
            <w:r w:rsidR="0043753A">
              <w:t>59</w:t>
            </w:r>
            <w:r w:rsidRPr="002F2DAC">
              <w:t>.</w:t>
            </w:r>
            <w:r>
              <w:t xml:space="preserve"> </w:t>
            </w:r>
            <w:r w:rsidRPr="002D35BD">
              <w:t xml:space="preserve">The median for SKDC’s CIPFA Peers was </w:t>
            </w:r>
            <w:r>
              <w:t>£2</w:t>
            </w:r>
            <w:r w:rsidR="0043753A">
              <w:t>44</w:t>
            </w:r>
            <w:r>
              <w:t>.</w:t>
            </w:r>
          </w:p>
        </w:tc>
        <w:tc>
          <w:tcPr>
            <w:tcW w:w="4908" w:type="dxa"/>
            <w:vMerge w:val="restart"/>
            <w:tcBorders>
              <w:top w:val="single" w:sz="4" w:space="0" w:color="auto"/>
            </w:tcBorders>
          </w:tcPr>
          <w:p w14:paraId="0A117316" w14:textId="77777777" w:rsidR="00CB64F6" w:rsidRDefault="00CB64F6" w:rsidP="00CB64F6">
            <w:pPr>
              <w:rPr>
                <w:i/>
                <w:iCs/>
              </w:rPr>
            </w:pPr>
            <w:r w:rsidRPr="002F2DAC">
              <w:rPr>
                <w:i/>
                <w:iCs/>
              </w:rPr>
              <w:t xml:space="preserve">DLUHC: Core spending power: final local government finance settlement 2022 to 2023 </w:t>
            </w:r>
          </w:p>
          <w:p w14:paraId="5A78D740" w14:textId="77777777" w:rsidR="00CB64F6" w:rsidRDefault="00CB64F6" w:rsidP="00CB64F6">
            <w:pPr>
              <w:rPr>
                <w:i/>
                <w:iCs/>
              </w:rPr>
            </w:pPr>
          </w:p>
          <w:p w14:paraId="68E69E4B" w14:textId="77777777" w:rsidR="00CB64F6" w:rsidRPr="008855E6" w:rsidRDefault="00CB64F6" w:rsidP="00CB64F6">
            <w:pPr>
              <w:rPr>
                <w:i/>
                <w:iCs/>
              </w:rPr>
            </w:pPr>
            <w:r w:rsidRPr="00CE67CC">
              <w:t xml:space="preserve">Core Spending Power is </w:t>
            </w:r>
            <w:r>
              <w:t xml:space="preserve">set at </w:t>
            </w:r>
            <w:r w:rsidRPr="00CE67CC">
              <w:t>the annual Local Government Finance Settlement.</w:t>
            </w:r>
            <w:r>
              <w:t xml:space="preserve"> Per dwelling is calculated: Core Spending Power/Number of Dwellings.</w:t>
            </w:r>
          </w:p>
        </w:tc>
      </w:tr>
      <w:tr w:rsidR="00CB64F6" w14:paraId="2F8E39EB" w14:textId="77777777" w:rsidTr="0043753A">
        <w:tc>
          <w:tcPr>
            <w:tcW w:w="1314" w:type="dxa"/>
          </w:tcPr>
          <w:p w14:paraId="0D45095E" w14:textId="6DE1914D" w:rsidR="00CB64F6" w:rsidRDefault="00CB64F6" w:rsidP="00CB64F6">
            <w:r>
              <w:t>2</w:t>
            </w:r>
          </w:p>
        </w:tc>
        <w:tc>
          <w:tcPr>
            <w:tcW w:w="1682" w:type="dxa"/>
            <w:tcBorders>
              <w:top w:val="single" w:sz="4" w:space="0" w:color="auto"/>
              <w:left w:val="nil"/>
              <w:bottom w:val="single" w:sz="4" w:space="0" w:color="auto"/>
              <w:right w:val="single" w:sz="4" w:space="0" w:color="auto"/>
            </w:tcBorders>
            <w:shd w:val="clear" w:color="auto" w:fill="auto"/>
            <w:vAlign w:val="bottom"/>
          </w:tcPr>
          <w:p w14:paraId="2C851153" w14:textId="061D7AEE" w:rsidR="00CB64F6" w:rsidRPr="0043753A" w:rsidRDefault="00CB64F6" w:rsidP="00CB64F6">
            <w:pPr>
              <w:rPr>
                <w:rFonts w:cstheme="minorHAnsi"/>
              </w:rPr>
            </w:pPr>
            <w:r w:rsidRPr="0043753A">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7F65D25" w14:textId="7A7F39D6" w:rsidR="00CB64F6" w:rsidRPr="0043753A" w:rsidRDefault="00CB64F6" w:rsidP="00CB64F6">
            <w:pPr>
              <w:rPr>
                <w:rFonts w:cstheme="minorHAnsi"/>
              </w:rPr>
            </w:pPr>
            <w:r w:rsidRPr="0043753A">
              <w:rPr>
                <w:rFonts w:cstheme="minorHAnsi"/>
                <w:color w:val="000000"/>
              </w:rPr>
              <w:t>£297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1600C91" w14:textId="6CC005A8" w:rsidR="00CB64F6" w:rsidRPr="0043753A" w:rsidRDefault="00CB64F6" w:rsidP="00CB64F6">
            <w:pPr>
              <w:rPr>
                <w:rFonts w:cstheme="minorHAnsi"/>
              </w:rPr>
            </w:pPr>
            <w:r w:rsidRPr="0043753A">
              <w:rPr>
                <w:rFonts w:cstheme="minorHAnsi"/>
                <w:color w:val="000000"/>
              </w:rPr>
              <w:t>13.7</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2CCECC07" w14:textId="5DBAEEB3" w:rsidR="00CB64F6" w:rsidRPr="0043753A" w:rsidRDefault="0043753A" w:rsidP="00CB64F6">
            <w:pPr>
              <w:rPr>
                <w:rFonts w:cstheme="minorHAnsi"/>
              </w:rPr>
            </w:pPr>
            <w:r w:rsidRPr="0043753A">
              <w:rPr>
                <w:rFonts w:cstheme="minorHAnsi"/>
              </w:rPr>
              <w:t>45,984</w:t>
            </w:r>
          </w:p>
        </w:tc>
        <w:tc>
          <w:tcPr>
            <w:tcW w:w="1007" w:type="dxa"/>
            <w:vMerge/>
            <w:tcBorders>
              <w:top w:val="single" w:sz="4" w:space="0" w:color="auto"/>
              <w:left w:val="single" w:sz="4" w:space="0" w:color="auto"/>
              <w:bottom w:val="single" w:sz="4" w:space="0" w:color="auto"/>
              <w:right w:val="single" w:sz="4" w:space="0" w:color="auto"/>
            </w:tcBorders>
          </w:tcPr>
          <w:p w14:paraId="1475E89C"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0A6967C4" w14:textId="2BD3D8BF" w:rsidR="00CB64F6" w:rsidRPr="0043753A" w:rsidRDefault="0043753A" w:rsidP="00CB64F6">
            <w:pPr>
              <w:rPr>
                <w:rFonts w:cstheme="minorHAnsi"/>
              </w:rPr>
            </w:pPr>
            <w:r w:rsidRPr="0043753A">
              <w:rPr>
                <w:rFonts w:cstheme="minorHAnsi"/>
              </w:rPr>
              <w:t>7</w:t>
            </w:r>
          </w:p>
        </w:tc>
        <w:tc>
          <w:tcPr>
            <w:tcW w:w="1134" w:type="dxa"/>
            <w:tcBorders>
              <w:top w:val="single" w:sz="4" w:space="0" w:color="auto"/>
              <w:left w:val="single" w:sz="4" w:space="0" w:color="auto"/>
              <w:bottom w:val="single" w:sz="4" w:space="0" w:color="auto"/>
              <w:right w:val="nil"/>
            </w:tcBorders>
            <w:shd w:val="clear" w:color="auto" w:fill="auto"/>
            <w:vAlign w:val="bottom"/>
          </w:tcPr>
          <w:p w14:paraId="08BE7B6F" w14:textId="4E0A29B8" w:rsidR="00CB64F6" w:rsidRPr="0043753A" w:rsidRDefault="00CB64F6" w:rsidP="00CB64F6">
            <w:pPr>
              <w:rPr>
                <w:rFonts w:cstheme="minorHAnsi"/>
              </w:rPr>
            </w:pPr>
            <w:r w:rsidRPr="0043753A">
              <w:rPr>
                <w:rFonts w:cstheme="minorHAnsi"/>
                <w:color w:val="000000"/>
              </w:rPr>
              <w:t>51</w:t>
            </w:r>
          </w:p>
        </w:tc>
        <w:tc>
          <w:tcPr>
            <w:tcW w:w="3104" w:type="dxa"/>
            <w:vMerge/>
          </w:tcPr>
          <w:p w14:paraId="0E9211C4" w14:textId="77777777" w:rsidR="00CB64F6" w:rsidRDefault="00CB64F6" w:rsidP="00CB64F6"/>
        </w:tc>
        <w:tc>
          <w:tcPr>
            <w:tcW w:w="4908" w:type="dxa"/>
            <w:vMerge/>
          </w:tcPr>
          <w:p w14:paraId="14C047C6" w14:textId="77777777" w:rsidR="00CB64F6" w:rsidRDefault="00CB64F6" w:rsidP="00CB64F6"/>
        </w:tc>
      </w:tr>
      <w:tr w:rsidR="00CB64F6" w14:paraId="580E59FA" w14:textId="77777777" w:rsidTr="0043753A">
        <w:tc>
          <w:tcPr>
            <w:tcW w:w="1314" w:type="dxa"/>
          </w:tcPr>
          <w:p w14:paraId="7E50AEAE" w14:textId="01901E9A" w:rsidR="00CB64F6" w:rsidRDefault="00CB64F6" w:rsidP="00CB64F6">
            <w:r>
              <w:t>3</w:t>
            </w:r>
          </w:p>
        </w:tc>
        <w:tc>
          <w:tcPr>
            <w:tcW w:w="1682" w:type="dxa"/>
            <w:tcBorders>
              <w:top w:val="single" w:sz="4" w:space="0" w:color="auto"/>
              <w:left w:val="nil"/>
              <w:bottom w:val="single" w:sz="4" w:space="0" w:color="auto"/>
              <w:right w:val="single" w:sz="4" w:space="0" w:color="auto"/>
            </w:tcBorders>
            <w:shd w:val="clear" w:color="auto" w:fill="auto"/>
            <w:vAlign w:val="bottom"/>
          </w:tcPr>
          <w:p w14:paraId="784A3FE5" w14:textId="3401AD64" w:rsidR="00CB64F6" w:rsidRPr="0043753A" w:rsidRDefault="00CB64F6" w:rsidP="00CB64F6">
            <w:pPr>
              <w:rPr>
                <w:rFonts w:cstheme="minorHAnsi"/>
              </w:rPr>
            </w:pPr>
            <w:r w:rsidRPr="0043753A">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382299A" w14:textId="7DDABB07" w:rsidR="00CB64F6" w:rsidRPr="0043753A" w:rsidRDefault="00CB64F6" w:rsidP="00CB64F6">
            <w:pPr>
              <w:rPr>
                <w:rFonts w:cstheme="minorHAnsi"/>
              </w:rPr>
            </w:pPr>
            <w:r w:rsidRPr="0043753A">
              <w:rPr>
                <w:rFonts w:cstheme="minorHAnsi"/>
                <w:color w:val="000000"/>
              </w:rPr>
              <w:t>£291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382EB10" w14:textId="1DA5F3BF" w:rsidR="00CB64F6" w:rsidRPr="0043753A" w:rsidRDefault="00CB64F6" w:rsidP="00CB64F6">
            <w:pPr>
              <w:rPr>
                <w:rFonts w:cstheme="minorHAnsi"/>
              </w:rPr>
            </w:pPr>
            <w:r w:rsidRPr="0043753A">
              <w:rPr>
                <w:rFonts w:cstheme="minorHAnsi"/>
                <w:color w:val="000000"/>
              </w:rPr>
              <w:t>12.7</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108090CB" w14:textId="19ED5DC8" w:rsidR="00CB64F6" w:rsidRPr="0043753A" w:rsidRDefault="0043753A" w:rsidP="00CB64F6">
            <w:pPr>
              <w:rPr>
                <w:rFonts w:cstheme="minorHAnsi"/>
              </w:rPr>
            </w:pPr>
            <w:r w:rsidRPr="0043753A">
              <w:rPr>
                <w:rFonts w:cstheme="minorHAnsi"/>
              </w:rPr>
              <w:t>43,796</w:t>
            </w:r>
          </w:p>
        </w:tc>
        <w:tc>
          <w:tcPr>
            <w:tcW w:w="1007" w:type="dxa"/>
            <w:vMerge/>
            <w:tcBorders>
              <w:top w:val="single" w:sz="4" w:space="0" w:color="auto"/>
              <w:left w:val="single" w:sz="4" w:space="0" w:color="auto"/>
              <w:bottom w:val="single" w:sz="4" w:space="0" w:color="auto"/>
              <w:right w:val="single" w:sz="4" w:space="0" w:color="auto"/>
            </w:tcBorders>
          </w:tcPr>
          <w:p w14:paraId="2F3F7644"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30A8E339" w14:textId="792EEA2E" w:rsidR="00CB64F6" w:rsidRPr="0043753A" w:rsidRDefault="0043753A" w:rsidP="00CB64F6">
            <w:pPr>
              <w:rPr>
                <w:rFonts w:cstheme="minorHAnsi"/>
              </w:rPr>
            </w:pPr>
            <w:r w:rsidRPr="0043753A">
              <w:rPr>
                <w:rFonts w:cstheme="minorHAnsi"/>
              </w:rPr>
              <w:t>7</w:t>
            </w:r>
          </w:p>
        </w:tc>
        <w:tc>
          <w:tcPr>
            <w:tcW w:w="1134" w:type="dxa"/>
            <w:tcBorders>
              <w:top w:val="single" w:sz="4" w:space="0" w:color="auto"/>
              <w:left w:val="single" w:sz="4" w:space="0" w:color="auto"/>
              <w:bottom w:val="single" w:sz="4" w:space="0" w:color="auto"/>
              <w:right w:val="nil"/>
            </w:tcBorders>
            <w:shd w:val="clear" w:color="auto" w:fill="auto"/>
            <w:vAlign w:val="bottom"/>
          </w:tcPr>
          <w:p w14:paraId="5A21D759" w14:textId="76EF52CE" w:rsidR="00CB64F6" w:rsidRPr="0043753A" w:rsidRDefault="00CB64F6" w:rsidP="00CB64F6">
            <w:pPr>
              <w:rPr>
                <w:rFonts w:cstheme="minorHAnsi"/>
              </w:rPr>
            </w:pPr>
            <w:r w:rsidRPr="0043753A">
              <w:rPr>
                <w:rFonts w:cstheme="minorHAnsi"/>
                <w:color w:val="000000"/>
              </w:rPr>
              <w:t>59</w:t>
            </w:r>
          </w:p>
        </w:tc>
        <w:tc>
          <w:tcPr>
            <w:tcW w:w="3104" w:type="dxa"/>
            <w:vMerge/>
          </w:tcPr>
          <w:p w14:paraId="5F4F62C6" w14:textId="77777777" w:rsidR="00CB64F6" w:rsidRDefault="00CB64F6" w:rsidP="00CB64F6"/>
        </w:tc>
        <w:tc>
          <w:tcPr>
            <w:tcW w:w="4908" w:type="dxa"/>
            <w:vMerge/>
          </w:tcPr>
          <w:p w14:paraId="038D1FEC" w14:textId="77777777" w:rsidR="00CB64F6" w:rsidRDefault="00CB64F6" w:rsidP="00CB64F6"/>
        </w:tc>
      </w:tr>
      <w:tr w:rsidR="00CB64F6" w14:paraId="2D20997E" w14:textId="77777777" w:rsidTr="0043753A">
        <w:tc>
          <w:tcPr>
            <w:tcW w:w="1314" w:type="dxa"/>
          </w:tcPr>
          <w:p w14:paraId="399EC355" w14:textId="10F2B584" w:rsidR="00CB64F6" w:rsidRDefault="00CB64F6" w:rsidP="00CB64F6">
            <w:r>
              <w:t>4</w:t>
            </w:r>
          </w:p>
        </w:tc>
        <w:tc>
          <w:tcPr>
            <w:tcW w:w="1682" w:type="dxa"/>
            <w:tcBorders>
              <w:top w:val="single" w:sz="4" w:space="0" w:color="auto"/>
              <w:left w:val="nil"/>
              <w:bottom w:val="single" w:sz="4" w:space="0" w:color="auto"/>
              <w:right w:val="single" w:sz="4" w:space="0" w:color="auto"/>
            </w:tcBorders>
            <w:shd w:val="clear" w:color="auto" w:fill="auto"/>
            <w:vAlign w:val="bottom"/>
          </w:tcPr>
          <w:p w14:paraId="1AB862DB" w14:textId="3F65A042" w:rsidR="00CB64F6" w:rsidRPr="0043753A" w:rsidRDefault="00CB64F6" w:rsidP="00CB64F6">
            <w:pPr>
              <w:rPr>
                <w:rFonts w:cstheme="minorHAnsi"/>
              </w:rPr>
            </w:pPr>
            <w:r w:rsidRPr="0043753A">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EB53045" w14:textId="4B45F826" w:rsidR="00CB64F6" w:rsidRPr="0043753A" w:rsidRDefault="00CB64F6" w:rsidP="00CB64F6">
            <w:pPr>
              <w:rPr>
                <w:rFonts w:cstheme="minorHAnsi"/>
              </w:rPr>
            </w:pPr>
            <w:r w:rsidRPr="0043753A">
              <w:rPr>
                <w:rFonts w:cstheme="minorHAnsi"/>
                <w:color w:val="000000"/>
              </w:rPr>
              <w:t>£291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8099031" w14:textId="0284A7A7" w:rsidR="00CB64F6" w:rsidRPr="0043753A" w:rsidRDefault="00CB64F6" w:rsidP="00CB64F6">
            <w:pPr>
              <w:rPr>
                <w:rFonts w:cstheme="minorHAnsi"/>
              </w:rPr>
            </w:pPr>
            <w:r w:rsidRPr="0043753A">
              <w:rPr>
                <w:rFonts w:cstheme="minorHAnsi"/>
                <w:color w:val="000000"/>
              </w:rPr>
              <w:t>13.8</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21EDB2CC" w14:textId="598FC74F" w:rsidR="00CB64F6" w:rsidRPr="0043753A" w:rsidRDefault="0043753A" w:rsidP="00CB64F6">
            <w:pPr>
              <w:rPr>
                <w:rFonts w:cstheme="minorHAnsi"/>
              </w:rPr>
            </w:pPr>
            <w:r w:rsidRPr="0043753A">
              <w:rPr>
                <w:rFonts w:cstheme="minorHAnsi"/>
              </w:rPr>
              <w:t>47,500</w:t>
            </w:r>
          </w:p>
        </w:tc>
        <w:tc>
          <w:tcPr>
            <w:tcW w:w="1007" w:type="dxa"/>
            <w:vMerge/>
            <w:tcBorders>
              <w:top w:val="single" w:sz="4" w:space="0" w:color="auto"/>
              <w:left w:val="single" w:sz="4" w:space="0" w:color="auto"/>
              <w:bottom w:val="single" w:sz="4" w:space="0" w:color="auto"/>
              <w:right w:val="single" w:sz="4" w:space="0" w:color="auto"/>
            </w:tcBorders>
          </w:tcPr>
          <w:p w14:paraId="36F0ED7D"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53D3A2C9" w14:textId="17DADBE7" w:rsidR="00CB64F6" w:rsidRPr="0043753A" w:rsidRDefault="0043753A" w:rsidP="00CB64F6">
            <w:pPr>
              <w:rPr>
                <w:rFonts w:cstheme="minorHAnsi"/>
              </w:rPr>
            </w:pPr>
            <w:r w:rsidRPr="0043753A">
              <w:rPr>
                <w:rFonts w:cstheme="minorHAnsi"/>
              </w:rPr>
              <w:t>7</w:t>
            </w:r>
          </w:p>
        </w:tc>
        <w:tc>
          <w:tcPr>
            <w:tcW w:w="1134" w:type="dxa"/>
            <w:tcBorders>
              <w:top w:val="single" w:sz="4" w:space="0" w:color="auto"/>
              <w:left w:val="single" w:sz="4" w:space="0" w:color="auto"/>
              <w:bottom w:val="single" w:sz="4" w:space="0" w:color="auto"/>
              <w:right w:val="nil"/>
            </w:tcBorders>
            <w:shd w:val="clear" w:color="auto" w:fill="auto"/>
            <w:vAlign w:val="bottom"/>
          </w:tcPr>
          <w:p w14:paraId="7918D2B5" w14:textId="5648964E" w:rsidR="00CB64F6" w:rsidRPr="0043753A" w:rsidRDefault="00CB64F6" w:rsidP="00CB64F6">
            <w:pPr>
              <w:rPr>
                <w:rFonts w:cstheme="minorHAnsi"/>
              </w:rPr>
            </w:pPr>
            <w:r w:rsidRPr="0043753A">
              <w:rPr>
                <w:rFonts w:cstheme="minorHAnsi"/>
                <w:color w:val="000000"/>
              </w:rPr>
              <w:t>60</w:t>
            </w:r>
          </w:p>
        </w:tc>
        <w:tc>
          <w:tcPr>
            <w:tcW w:w="3104" w:type="dxa"/>
            <w:vMerge/>
          </w:tcPr>
          <w:p w14:paraId="485853DA" w14:textId="77777777" w:rsidR="00CB64F6" w:rsidRDefault="00CB64F6" w:rsidP="00CB64F6"/>
        </w:tc>
        <w:tc>
          <w:tcPr>
            <w:tcW w:w="4908" w:type="dxa"/>
            <w:vMerge/>
          </w:tcPr>
          <w:p w14:paraId="7F95B3D3" w14:textId="77777777" w:rsidR="00CB64F6" w:rsidRDefault="00CB64F6" w:rsidP="00CB64F6"/>
        </w:tc>
      </w:tr>
      <w:tr w:rsidR="00CB64F6" w14:paraId="6F05459C" w14:textId="77777777" w:rsidTr="0043753A">
        <w:tc>
          <w:tcPr>
            <w:tcW w:w="1314" w:type="dxa"/>
          </w:tcPr>
          <w:p w14:paraId="56AD49B8" w14:textId="4A2A4BF1" w:rsidR="00CB64F6" w:rsidRDefault="00CB64F6" w:rsidP="00CB64F6">
            <w:r>
              <w:t>5</w:t>
            </w:r>
          </w:p>
        </w:tc>
        <w:tc>
          <w:tcPr>
            <w:tcW w:w="1682" w:type="dxa"/>
            <w:tcBorders>
              <w:top w:val="single" w:sz="4" w:space="0" w:color="auto"/>
              <w:left w:val="nil"/>
              <w:bottom w:val="single" w:sz="4" w:space="0" w:color="auto"/>
              <w:right w:val="single" w:sz="4" w:space="0" w:color="auto"/>
            </w:tcBorders>
            <w:shd w:val="clear" w:color="auto" w:fill="auto"/>
            <w:vAlign w:val="bottom"/>
          </w:tcPr>
          <w:p w14:paraId="50F1F49B" w14:textId="38C1D008" w:rsidR="00CB64F6" w:rsidRPr="0043753A" w:rsidRDefault="00CB64F6" w:rsidP="00CB64F6">
            <w:pPr>
              <w:rPr>
                <w:rFonts w:cstheme="minorHAnsi"/>
              </w:rPr>
            </w:pPr>
            <w:r w:rsidRPr="0043753A">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D41B333" w14:textId="564DA657" w:rsidR="00CB64F6" w:rsidRPr="0043753A" w:rsidRDefault="00CB64F6" w:rsidP="00CB64F6">
            <w:pPr>
              <w:rPr>
                <w:rFonts w:cstheme="minorHAnsi"/>
              </w:rPr>
            </w:pPr>
            <w:r w:rsidRPr="0043753A">
              <w:rPr>
                <w:rFonts w:cstheme="minorHAnsi"/>
                <w:color w:val="000000"/>
              </w:rPr>
              <w:t>£273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C84A404" w14:textId="36206D29" w:rsidR="00CB64F6" w:rsidRPr="0043753A" w:rsidRDefault="00CB64F6" w:rsidP="00CB64F6">
            <w:pPr>
              <w:rPr>
                <w:rFonts w:cstheme="minorHAnsi"/>
              </w:rPr>
            </w:pPr>
            <w:r w:rsidRPr="0043753A">
              <w:rPr>
                <w:rFonts w:cstheme="minorHAnsi"/>
                <w:color w:val="000000"/>
              </w:rPr>
              <w:t>19.5</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5794E3ED" w14:textId="7B06E16B" w:rsidR="00CB64F6" w:rsidRPr="0043753A" w:rsidRDefault="0043753A" w:rsidP="00CB64F6">
            <w:pPr>
              <w:rPr>
                <w:rFonts w:cstheme="minorHAnsi"/>
              </w:rPr>
            </w:pPr>
            <w:r w:rsidRPr="0043753A">
              <w:rPr>
                <w:rFonts w:cstheme="minorHAnsi"/>
              </w:rPr>
              <w:t>71,634</w:t>
            </w:r>
          </w:p>
        </w:tc>
        <w:tc>
          <w:tcPr>
            <w:tcW w:w="1007" w:type="dxa"/>
            <w:vMerge/>
            <w:tcBorders>
              <w:top w:val="single" w:sz="4" w:space="0" w:color="auto"/>
              <w:left w:val="single" w:sz="4" w:space="0" w:color="auto"/>
              <w:bottom w:val="single" w:sz="4" w:space="0" w:color="auto"/>
              <w:right w:val="single" w:sz="4" w:space="0" w:color="auto"/>
            </w:tcBorders>
          </w:tcPr>
          <w:p w14:paraId="05F8D6F7"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365B695E" w14:textId="4232E3B1" w:rsidR="00CB64F6" w:rsidRPr="0043753A" w:rsidRDefault="0043753A" w:rsidP="00CB64F6">
            <w:pPr>
              <w:rPr>
                <w:rFonts w:cstheme="minorHAnsi"/>
              </w:rPr>
            </w:pPr>
            <w:r w:rsidRPr="0043753A">
              <w:rPr>
                <w:rFonts w:cstheme="minorHAnsi"/>
              </w:rPr>
              <w:t>5</w:t>
            </w:r>
          </w:p>
        </w:tc>
        <w:tc>
          <w:tcPr>
            <w:tcW w:w="1134" w:type="dxa"/>
            <w:tcBorders>
              <w:top w:val="single" w:sz="4" w:space="0" w:color="auto"/>
              <w:left w:val="single" w:sz="4" w:space="0" w:color="auto"/>
              <w:bottom w:val="single" w:sz="4" w:space="0" w:color="auto"/>
              <w:right w:val="nil"/>
            </w:tcBorders>
            <w:shd w:val="clear" w:color="auto" w:fill="auto"/>
            <w:vAlign w:val="bottom"/>
          </w:tcPr>
          <w:p w14:paraId="6BE6185B" w14:textId="39BB16B6" w:rsidR="00CB64F6" w:rsidRPr="0043753A" w:rsidRDefault="00CB64F6" w:rsidP="00CB64F6">
            <w:pPr>
              <w:rPr>
                <w:rFonts w:cstheme="minorHAnsi"/>
              </w:rPr>
            </w:pPr>
            <w:r w:rsidRPr="0043753A">
              <w:rPr>
                <w:rFonts w:cstheme="minorHAnsi"/>
                <w:color w:val="000000"/>
              </w:rPr>
              <w:t>91</w:t>
            </w:r>
          </w:p>
        </w:tc>
        <w:tc>
          <w:tcPr>
            <w:tcW w:w="3104" w:type="dxa"/>
            <w:vMerge/>
          </w:tcPr>
          <w:p w14:paraId="754159C2" w14:textId="77777777" w:rsidR="00CB64F6" w:rsidRDefault="00CB64F6" w:rsidP="00CB64F6"/>
        </w:tc>
        <w:tc>
          <w:tcPr>
            <w:tcW w:w="4908" w:type="dxa"/>
            <w:vMerge/>
          </w:tcPr>
          <w:p w14:paraId="671D6DAC" w14:textId="77777777" w:rsidR="00CB64F6" w:rsidRDefault="00CB64F6" w:rsidP="00CB64F6"/>
        </w:tc>
      </w:tr>
      <w:tr w:rsidR="00CB64F6" w14:paraId="54E79DB3" w14:textId="77777777" w:rsidTr="0043753A">
        <w:tc>
          <w:tcPr>
            <w:tcW w:w="1314" w:type="dxa"/>
          </w:tcPr>
          <w:p w14:paraId="384C619E" w14:textId="53B02A5D" w:rsidR="00CB64F6" w:rsidRDefault="00CB64F6" w:rsidP="00CB64F6">
            <w:r>
              <w:t>6</w:t>
            </w:r>
          </w:p>
        </w:tc>
        <w:tc>
          <w:tcPr>
            <w:tcW w:w="1682" w:type="dxa"/>
            <w:tcBorders>
              <w:top w:val="single" w:sz="4" w:space="0" w:color="auto"/>
              <w:left w:val="nil"/>
              <w:bottom w:val="single" w:sz="4" w:space="0" w:color="auto"/>
              <w:right w:val="single" w:sz="4" w:space="0" w:color="auto"/>
            </w:tcBorders>
            <w:shd w:val="clear" w:color="auto" w:fill="auto"/>
            <w:vAlign w:val="bottom"/>
          </w:tcPr>
          <w:p w14:paraId="6549AC42" w14:textId="7E568464" w:rsidR="00CB64F6" w:rsidRPr="0043753A" w:rsidRDefault="00CB64F6" w:rsidP="00CB64F6">
            <w:pPr>
              <w:rPr>
                <w:rFonts w:cstheme="minorHAnsi"/>
              </w:rPr>
            </w:pPr>
            <w:r w:rsidRPr="0043753A">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6625337" w14:textId="7BF33DF4" w:rsidR="00CB64F6" w:rsidRPr="0043753A" w:rsidRDefault="00CB64F6" w:rsidP="00CB64F6">
            <w:pPr>
              <w:rPr>
                <w:rFonts w:cstheme="minorHAnsi"/>
              </w:rPr>
            </w:pPr>
            <w:r w:rsidRPr="0043753A">
              <w:rPr>
                <w:rFonts w:cstheme="minorHAnsi"/>
                <w:color w:val="000000"/>
              </w:rPr>
              <w:t>£249</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51F4CC2" w14:textId="1508A048" w:rsidR="00CB64F6" w:rsidRPr="0043753A" w:rsidRDefault="00CB64F6" w:rsidP="00CB64F6">
            <w:pPr>
              <w:rPr>
                <w:rFonts w:cstheme="minorHAnsi"/>
              </w:rPr>
            </w:pPr>
            <w:r w:rsidRPr="0043753A">
              <w:rPr>
                <w:rFonts w:cstheme="minorHAnsi"/>
                <w:color w:val="000000"/>
              </w:rPr>
              <w:t>13.5</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6CD077E7" w14:textId="768E3AB0" w:rsidR="00CB64F6" w:rsidRPr="0043753A" w:rsidRDefault="0043753A" w:rsidP="00CB64F6">
            <w:pPr>
              <w:rPr>
                <w:rFonts w:cstheme="minorHAnsi"/>
              </w:rPr>
            </w:pPr>
            <w:r w:rsidRPr="0043753A">
              <w:rPr>
                <w:rFonts w:cstheme="minorHAnsi"/>
              </w:rPr>
              <w:t>54,226</w:t>
            </w:r>
          </w:p>
        </w:tc>
        <w:tc>
          <w:tcPr>
            <w:tcW w:w="1007" w:type="dxa"/>
            <w:vMerge/>
            <w:tcBorders>
              <w:top w:val="single" w:sz="4" w:space="0" w:color="auto"/>
              <w:left w:val="single" w:sz="4" w:space="0" w:color="auto"/>
              <w:bottom w:val="single" w:sz="4" w:space="0" w:color="auto"/>
              <w:right w:val="single" w:sz="4" w:space="0" w:color="auto"/>
            </w:tcBorders>
          </w:tcPr>
          <w:p w14:paraId="1494D96C"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D65CB7E" w14:textId="3555CEAD" w:rsidR="00CB64F6" w:rsidRPr="0043753A" w:rsidRDefault="0043753A" w:rsidP="00CB64F6">
            <w:pPr>
              <w:rPr>
                <w:rFonts w:cstheme="minorHAnsi"/>
              </w:rPr>
            </w:pPr>
            <w:r w:rsidRPr="0043753A">
              <w:rPr>
                <w:rFonts w:cstheme="minorHAnsi"/>
              </w:rPr>
              <w:t>2</w:t>
            </w:r>
          </w:p>
        </w:tc>
        <w:tc>
          <w:tcPr>
            <w:tcW w:w="1134" w:type="dxa"/>
            <w:tcBorders>
              <w:top w:val="single" w:sz="4" w:space="0" w:color="auto"/>
              <w:left w:val="single" w:sz="4" w:space="0" w:color="auto"/>
              <w:bottom w:val="single" w:sz="4" w:space="0" w:color="auto"/>
              <w:right w:val="nil"/>
            </w:tcBorders>
            <w:shd w:val="clear" w:color="auto" w:fill="auto"/>
            <w:vAlign w:val="bottom"/>
          </w:tcPr>
          <w:p w14:paraId="353C70A6" w14:textId="59631EEE" w:rsidR="00CB64F6" w:rsidRPr="0043753A" w:rsidRDefault="00CB64F6" w:rsidP="00CB64F6">
            <w:pPr>
              <w:rPr>
                <w:rFonts w:cstheme="minorHAnsi"/>
              </w:rPr>
            </w:pPr>
            <w:r w:rsidRPr="0043753A">
              <w:rPr>
                <w:rFonts w:cstheme="minorHAnsi"/>
                <w:color w:val="000000"/>
              </w:rPr>
              <w:t>132</w:t>
            </w:r>
          </w:p>
        </w:tc>
        <w:tc>
          <w:tcPr>
            <w:tcW w:w="3104" w:type="dxa"/>
            <w:vMerge/>
          </w:tcPr>
          <w:p w14:paraId="6ABA5BE8" w14:textId="77777777" w:rsidR="00CB64F6" w:rsidRDefault="00CB64F6" w:rsidP="00CB64F6"/>
        </w:tc>
        <w:tc>
          <w:tcPr>
            <w:tcW w:w="4908" w:type="dxa"/>
            <w:vMerge/>
          </w:tcPr>
          <w:p w14:paraId="0A64B7B0" w14:textId="77777777" w:rsidR="00CB64F6" w:rsidRDefault="00CB64F6" w:rsidP="00CB64F6"/>
        </w:tc>
      </w:tr>
      <w:tr w:rsidR="00CB64F6" w14:paraId="44852AA2" w14:textId="77777777" w:rsidTr="0043753A">
        <w:tc>
          <w:tcPr>
            <w:tcW w:w="1314" w:type="dxa"/>
            <w:tcBorders>
              <w:bottom w:val="single" w:sz="4" w:space="0" w:color="auto"/>
            </w:tcBorders>
          </w:tcPr>
          <w:p w14:paraId="5499AFCC" w14:textId="285610CC" w:rsidR="00CB64F6" w:rsidRDefault="00CB64F6" w:rsidP="00CB64F6">
            <w:r>
              <w:t>7</w:t>
            </w:r>
          </w:p>
        </w:tc>
        <w:tc>
          <w:tcPr>
            <w:tcW w:w="1682" w:type="dxa"/>
            <w:tcBorders>
              <w:top w:val="single" w:sz="4" w:space="0" w:color="auto"/>
              <w:left w:val="nil"/>
              <w:bottom w:val="single" w:sz="4" w:space="0" w:color="auto"/>
              <w:right w:val="single" w:sz="4" w:space="0" w:color="auto"/>
            </w:tcBorders>
            <w:shd w:val="clear" w:color="auto" w:fill="auto"/>
            <w:vAlign w:val="bottom"/>
          </w:tcPr>
          <w:p w14:paraId="26FA01CC" w14:textId="5821E717" w:rsidR="00CB64F6" w:rsidRPr="0043753A" w:rsidRDefault="00CB64F6" w:rsidP="00CB64F6">
            <w:pPr>
              <w:rPr>
                <w:rFonts w:cstheme="minorHAnsi"/>
              </w:rPr>
            </w:pPr>
            <w:r w:rsidRPr="0043753A">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023BD08" w14:textId="3D9CBE7D" w:rsidR="00CB64F6" w:rsidRPr="0043753A" w:rsidRDefault="00CB64F6" w:rsidP="00CB64F6">
            <w:pPr>
              <w:rPr>
                <w:rFonts w:cstheme="minorHAnsi"/>
              </w:rPr>
            </w:pPr>
            <w:r w:rsidRPr="0043753A">
              <w:rPr>
                <w:rFonts w:cstheme="minorHAnsi"/>
                <w:color w:val="000000"/>
              </w:rPr>
              <w:t>£242</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617D883" w14:textId="06F9A13B" w:rsidR="00CB64F6" w:rsidRPr="0043753A" w:rsidRDefault="00CB64F6" w:rsidP="00CB64F6">
            <w:pPr>
              <w:rPr>
                <w:rFonts w:cstheme="minorHAnsi"/>
              </w:rPr>
            </w:pPr>
            <w:r w:rsidRPr="0043753A">
              <w:rPr>
                <w:rFonts w:cstheme="minorHAnsi"/>
                <w:color w:val="000000"/>
              </w:rPr>
              <w:t>16.2</w:t>
            </w:r>
          </w:p>
        </w:tc>
        <w:tc>
          <w:tcPr>
            <w:tcW w:w="2391" w:type="dxa"/>
            <w:tcBorders>
              <w:top w:val="single" w:sz="4" w:space="0" w:color="auto"/>
              <w:left w:val="single" w:sz="4" w:space="0" w:color="auto"/>
              <w:bottom w:val="single" w:sz="4" w:space="0" w:color="auto"/>
              <w:right w:val="single" w:sz="4" w:space="0" w:color="auto"/>
            </w:tcBorders>
            <w:shd w:val="clear" w:color="000000" w:fill="FFFFFF"/>
            <w:vAlign w:val="bottom"/>
          </w:tcPr>
          <w:p w14:paraId="6BD9F60D" w14:textId="061C8041" w:rsidR="00CB64F6" w:rsidRPr="0043753A" w:rsidRDefault="0043753A" w:rsidP="00CB64F6">
            <w:pPr>
              <w:rPr>
                <w:rFonts w:cstheme="minorHAnsi"/>
              </w:rPr>
            </w:pPr>
            <w:r w:rsidRPr="0043753A">
              <w:rPr>
                <w:rFonts w:cstheme="minorHAnsi"/>
              </w:rPr>
              <w:t>66,796</w:t>
            </w:r>
          </w:p>
        </w:tc>
        <w:tc>
          <w:tcPr>
            <w:tcW w:w="1007" w:type="dxa"/>
            <w:vMerge/>
            <w:tcBorders>
              <w:top w:val="single" w:sz="4" w:space="0" w:color="auto"/>
              <w:left w:val="single" w:sz="4" w:space="0" w:color="auto"/>
              <w:bottom w:val="single" w:sz="4" w:space="0" w:color="auto"/>
              <w:right w:val="single" w:sz="4" w:space="0" w:color="auto"/>
            </w:tcBorders>
          </w:tcPr>
          <w:p w14:paraId="23C1301C" w14:textId="77777777" w:rsidR="00CB64F6" w:rsidRPr="0043753A" w:rsidRDefault="00CB64F6" w:rsidP="00CB64F6">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55F5E7D" w14:textId="37E6805D" w:rsidR="00CB64F6" w:rsidRPr="0043753A" w:rsidRDefault="0043753A" w:rsidP="00CB64F6">
            <w:pPr>
              <w:rPr>
                <w:rFonts w:cstheme="minorHAnsi"/>
              </w:rPr>
            </w:pPr>
            <w:r w:rsidRPr="0043753A">
              <w:rPr>
                <w:rFonts w:cstheme="minorHAnsi"/>
              </w:rPr>
              <w:t>2</w:t>
            </w:r>
          </w:p>
        </w:tc>
        <w:tc>
          <w:tcPr>
            <w:tcW w:w="1134" w:type="dxa"/>
            <w:tcBorders>
              <w:top w:val="single" w:sz="4" w:space="0" w:color="auto"/>
              <w:left w:val="single" w:sz="4" w:space="0" w:color="auto"/>
              <w:bottom w:val="single" w:sz="4" w:space="0" w:color="auto"/>
              <w:right w:val="nil"/>
            </w:tcBorders>
            <w:shd w:val="clear" w:color="auto" w:fill="auto"/>
            <w:vAlign w:val="bottom"/>
          </w:tcPr>
          <w:p w14:paraId="76B8C3B7" w14:textId="4AA66FFF" w:rsidR="00CB64F6" w:rsidRPr="0043753A" w:rsidRDefault="00CB64F6" w:rsidP="00CB64F6">
            <w:pPr>
              <w:rPr>
                <w:rFonts w:cstheme="minorHAnsi"/>
              </w:rPr>
            </w:pPr>
            <w:r w:rsidRPr="0043753A">
              <w:rPr>
                <w:rFonts w:cstheme="minorHAnsi"/>
                <w:color w:val="000000"/>
              </w:rPr>
              <w:t>140</w:t>
            </w:r>
          </w:p>
        </w:tc>
        <w:tc>
          <w:tcPr>
            <w:tcW w:w="3104" w:type="dxa"/>
            <w:vMerge/>
            <w:tcBorders>
              <w:bottom w:val="single" w:sz="4" w:space="0" w:color="auto"/>
            </w:tcBorders>
          </w:tcPr>
          <w:p w14:paraId="2939294F" w14:textId="77777777" w:rsidR="00CB64F6" w:rsidRDefault="00CB64F6" w:rsidP="00CB64F6"/>
        </w:tc>
        <w:tc>
          <w:tcPr>
            <w:tcW w:w="4908" w:type="dxa"/>
            <w:vMerge/>
            <w:tcBorders>
              <w:bottom w:val="single" w:sz="4" w:space="0" w:color="auto"/>
            </w:tcBorders>
          </w:tcPr>
          <w:p w14:paraId="10F28FD9" w14:textId="77777777" w:rsidR="00CB64F6" w:rsidRDefault="00CB64F6" w:rsidP="00CB64F6"/>
        </w:tc>
      </w:tr>
    </w:tbl>
    <w:p w14:paraId="64FFA4C5" w14:textId="77777777" w:rsidR="002D35BD" w:rsidRDefault="002D35BD"/>
    <w:p w14:paraId="17541D4E" w14:textId="77777777" w:rsidR="0059661E" w:rsidRDefault="0059661E"/>
    <w:p w14:paraId="232A2B53" w14:textId="77777777" w:rsidR="0059661E" w:rsidRDefault="0059661E"/>
    <w:p w14:paraId="063B93A6" w14:textId="77777777" w:rsidR="0059661E" w:rsidRDefault="0059661E"/>
    <w:p w14:paraId="1932B95B" w14:textId="77777777" w:rsidR="0059661E" w:rsidRDefault="0059661E"/>
    <w:p w14:paraId="21D8962C" w14:textId="77777777" w:rsidR="0059661E" w:rsidRDefault="0059661E"/>
    <w:tbl>
      <w:tblPr>
        <w:tblStyle w:val="TableGrid"/>
        <w:tblW w:w="0" w:type="auto"/>
        <w:tblLook w:val="04A0" w:firstRow="1" w:lastRow="0" w:firstColumn="1" w:lastColumn="0" w:noHBand="0" w:noVBand="1"/>
      </w:tblPr>
      <w:tblGrid>
        <w:gridCol w:w="1314"/>
        <w:gridCol w:w="1682"/>
        <w:gridCol w:w="1133"/>
        <w:gridCol w:w="2529"/>
        <w:gridCol w:w="1275"/>
        <w:gridCol w:w="1560"/>
        <w:gridCol w:w="1559"/>
        <w:gridCol w:w="4252"/>
        <w:gridCol w:w="5617"/>
      </w:tblGrid>
      <w:tr w:rsidR="0059661E" w14:paraId="585A305C" w14:textId="77777777" w:rsidTr="005857FD">
        <w:tc>
          <w:tcPr>
            <w:tcW w:w="20921" w:type="dxa"/>
            <w:gridSpan w:val="9"/>
          </w:tcPr>
          <w:p w14:paraId="670F7DCE" w14:textId="77777777" w:rsidR="0059661E" w:rsidRPr="008855E6" w:rsidRDefault="0059661E" w:rsidP="005857FD">
            <w:pPr>
              <w:rPr>
                <w:b/>
                <w:bCs/>
              </w:rPr>
            </w:pPr>
            <w:r w:rsidRPr="008855E6">
              <w:rPr>
                <w:b/>
                <w:bCs/>
                <w:sz w:val="28"/>
                <w:szCs w:val="28"/>
              </w:rPr>
              <w:lastRenderedPageBreak/>
              <w:t xml:space="preserve">OFLOG Performance Indicators: Financial Resilience – Lincolnshire District Councils – Metric </w:t>
            </w:r>
            <w:r>
              <w:rPr>
                <w:b/>
                <w:bCs/>
                <w:sz w:val="28"/>
                <w:szCs w:val="28"/>
              </w:rPr>
              <w:t xml:space="preserve">4: Level of Band D council tax rates </w:t>
            </w:r>
          </w:p>
        </w:tc>
      </w:tr>
      <w:tr w:rsidR="0059661E" w14:paraId="5E4373B8" w14:textId="77777777" w:rsidTr="005857FD">
        <w:tc>
          <w:tcPr>
            <w:tcW w:w="20921" w:type="dxa"/>
            <w:gridSpan w:val="9"/>
          </w:tcPr>
          <w:p w14:paraId="4D2B27F9" w14:textId="77777777" w:rsidR="0059661E" w:rsidRPr="0059661E" w:rsidRDefault="0059661E" w:rsidP="0059661E">
            <w:pPr>
              <w:rPr>
                <w:b/>
                <w:bCs/>
                <w:sz w:val="24"/>
                <w:szCs w:val="24"/>
              </w:rPr>
            </w:pPr>
            <w:r w:rsidRPr="0059661E">
              <w:rPr>
                <w:b/>
                <w:bCs/>
                <w:sz w:val="24"/>
                <w:szCs w:val="24"/>
              </w:rPr>
              <w:t xml:space="preserve">All data is for the Financial Year 2022/23. Data for the previous financial year 2021/22 is in brackets. For finance data, national rankings and decile placings are calculated from the pool of English district councils. Counties, unitaries, metropolitans and London borough councils are excluded. Authorities where data is lacking for a specific metric are also excluded. For this metric the total pool is 181 with 1st being the best performer. </w:t>
            </w:r>
          </w:p>
          <w:p w14:paraId="2E71C947" w14:textId="7BA445FC" w:rsidR="0059661E" w:rsidRPr="008855E6" w:rsidRDefault="0059661E" w:rsidP="005857FD">
            <w:pPr>
              <w:rPr>
                <w:b/>
                <w:bCs/>
                <w:sz w:val="24"/>
                <w:szCs w:val="24"/>
              </w:rPr>
            </w:pPr>
            <w:r w:rsidRPr="0059661E">
              <w:rPr>
                <w:b/>
                <w:bCs/>
                <w:sz w:val="24"/>
                <w:szCs w:val="24"/>
              </w:rPr>
              <w:t>Decile Key: Decile 9 – in the top 20% of English local authorities, Decile 2 – in the bottom 20% of English local authorities, Deciles 6+ in the top half of English local authorities for given indicator.</w:t>
            </w:r>
          </w:p>
        </w:tc>
      </w:tr>
      <w:tr w:rsidR="0059661E" w14:paraId="073A4C6F" w14:textId="77777777" w:rsidTr="00111F2A">
        <w:tc>
          <w:tcPr>
            <w:tcW w:w="1314" w:type="dxa"/>
            <w:tcBorders>
              <w:bottom w:val="single" w:sz="4" w:space="0" w:color="auto"/>
            </w:tcBorders>
          </w:tcPr>
          <w:p w14:paraId="5CBB4C42" w14:textId="77777777" w:rsidR="0059661E" w:rsidRPr="008855E6" w:rsidRDefault="0059661E" w:rsidP="005857FD">
            <w:pPr>
              <w:rPr>
                <w:b/>
                <w:bCs/>
              </w:rPr>
            </w:pPr>
            <w:r w:rsidRPr="008855E6">
              <w:rPr>
                <w:b/>
                <w:bCs/>
              </w:rPr>
              <w:t>Lincolnshire Ranking</w:t>
            </w:r>
          </w:p>
        </w:tc>
        <w:tc>
          <w:tcPr>
            <w:tcW w:w="1682" w:type="dxa"/>
            <w:tcBorders>
              <w:bottom w:val="single" w:sz="4" w:space="0" w:color="auto"/>
            </w:tcBorders>
          </w:tcPr>
          <w:p w14:paraId="186967D4" w14:textId="77777777" w:rsidR="0059661E" w:rsidRPr="008855E6" w:rsidRDefault="0059661E" w:rsidP="005857FD">
            <w:pPr>
              <w:rPr>
                <w:b/>
                <w:bCs/>
              </w:rPr>
            </w:pPr>
            <w:r w:rsidRPr="008855E6">
              <w:rPr>
                <w:b/>
                <w:bCs/>
              </w:rPr>
              <w:t>Authority</w:t>
            </w:r>
          </w:p>
        </w:tc>
        <w:tc>
          <w:tcPr>
            <w:tcW w:w="1133" w:type="dxa"/>
            <w:tcBorders>
              <w:bottom w:val="single" w:sz="4" w:space="0" w:color="auto"/>
            </w:tcBorders>
          </w:tcPr>
          <w:p w14:paraId="1EC1006B" w14:textId="77777777" w:rsidR="0059661E" w:rsidRPr="008855E6" w:rsidRDefault="0059661E" w:rsidP="005857FD">
            <w:pPr>
              <w:rPr>
                <w:b/>
                <w:bCs/>
              </w:rPr>
            </w:pPr>
            <w:r w:rsidRPr="008855E6">
              <w:rPr>
                <w:b/>
                <w:bCs/>
              </w:rPr>
              <w:t>Value</w:t>
            </w:r>
          </w:p>
        </w:tc>
        <w:tc>
          <w:tcPr>
            <w:tcW w:w="2529" w:type="dxa"/>
            <w:tcBorders>
              <w:bottom w:val="single" w:sz="4" w:space="0" w:color="auto"/>
            </w:tcBorders>
          </w:tcPr>
          <w:p w14:paraId="6D39B886" w14:textId="5F5F99A0" w:rsidR="0059661E" w:rsidRPr="008855E6" w:rsidRDefault="0059661E" w:rsidP="005857FD">
            <w:pPr>
              <w:rPr>
                <w:b/>
                <w:bCs/>
              </w:rPr>
            </w:pPr>
            <w:r>
              <w:rPr>
                <w:b/>
                <w:bCs/>
              </w:rPr>
              <w:t>Band D Rates (2</w:t>
            </w:r>
            <w:r w:rsidR="002D1F2D">
              <w:rPr>
                <w:b/>
                <w:bCs/>
              </w:rPr>
              <w:t>024/25</w:t>
            </w:r>
            <w:r>
              <w:rPr>
                <w:b/>
                <w:bCs/>
              </w:rPr>
              <w:t>)</w:t>
            </w:r>
          </w:p>
        </w:tc>
        <w:tc>
          <w:tcPr>
            <w:tcW w:w="1275" w:type="dxa"/>
            <w:tcBorders>
              <w:bottom w:val="single" w:sz="4" w:space="0" w:color="auto"/>
            </w:tcBorders>
          </w:tcPr>
          <w:p w14:paraId="5A68DA99" w14:textId="77777777" w:rsidR="0059661E" w:rsidRPr="008855E6" w:rsidRDefault="0059661E" w:rsidP="005857FD">
            <w:pPr>
              <w:rPr>
                <w:b/>
                <w:bCs/>
              </w:rPr>
            </w:pPr>
            <w:r w:rsidRPr="008855E6">
              <w:rPr>
                <w:b/>
                <w:bCs/>
              </w:rPr>
              <w:t>Data Polarity</w:t>
            </w:r>
          </w:p>
        </w:tc>
        <w:tc>
          <w:tcPr>
            <w:tcW w:w="1560" w:type="dxa"/>
            <w:tcBorders>
              <w:bottom w:val="single" w:sz="4" w:space="0" w:color="auto"/>
            </w:tcBorders>
          </w:tcPr>
          <w:p w14:paraId="03970B68" w14:textId="77777777" w:rsidR="0059661E" w:rsidRPr="008855E6" w:rsidRDefault="0059661E" w:rsidP="005857FD">
            <w:pPr>
              <w:rPr>
                <w:b/>
                <w:bCs/>
              </w:rPr>
            </w:pPr>
            <w:r w:rsidRPr="008855E6">
              <w:rPr>
                <w:b/>
                <w:bCs/>
              </w:rPr>
              <w:t>National Decile Placing</w:t>
            </w:r>
          </w:p>
        </w:tc>
        <w:tc>
          <w:tcPr>
            <w:tcW w:w="1559" w:type="dxa"/>
            <w:tcBorders>
              <w:bottom w:val="single" w:sz="4" w:space="0" w:color="auto"/>
            </w:tcBorders>
          </w:tcPr>
          <w:p w14:paraId="549D56DE" w14:textId="77777777" w:rsidR="0059661E" w:rsidRPr="008855E6" w:rsidRDefault="0059661E" w:rsidP="005857FD">
            <w:pPr>
              <w:rPr>
                <w:b/>
                <w:bCs/>
              </w:rPr>
            </w:pPr>
            <w:r w:rsidRPr="008855E6">
              <w:rPr>
                <w:b/>
                <w:bCs/>
              </w:rPr>
              <w:t>National Ranking</w:t>
            </w:r>
          </w:p>
        </w:tc>
        <w:tc>
          <w:tcPr>
            <w:tcW w:w="4252" w:type="dxa"/>
            <w:tcBorders>
              <w:bottom w:val="single" w:sz="4" w:space="0" w:color="auto"/>
            </w:tcBorders>
          </w:tcPr>
          <w:p w14:paraId="331A646E" w14:textId="77777777" w:rsidR="0059661E" w:rsidRPr="008855E6" w:rsidRDefault="0059661E" w:rsidP="005857FD">
            <w:pPr>
              <w:rPr>
                <w:b/>
                <w:bCs/>
              </w:rPr>
            </w:pPr>
            <w:r>
              <w:rPr>
                <w:b/>
                <w:bCs/>
              </w:rPr>
              <w:t>National &amp; Regional Context</w:t>
            </w:r>
          </w:p>
        </w:tc>
        <w:tc>
          <w:tcPr>
            <w:tcW w:w="5617" w:type="dxa"/>
            <w:tcBorders>
              <w:bottom w:val="single" w:sz="4" w:space="0" w:color="auto"/>
            </w:tcBorders>
          </w:tcPr>
          <w:p w14:paraId="168BAB60" w14:textId="77777777" w:rsidR="0059661E" w:rsidRPr="008855E6" w:rsidRDefault="0059661E" w:rsidP="005857FD">
            <w:pPr>
              <w:rPr>
                <w:b/>
                <w:bCs/>
              </w:rPr>
            </w:pPr>
            <w:r w:rsidRPr="008855E6">
              <w:rPr>
                <w:b/>
                <w:bCs/>
              </w:rPr>
              <w:t>Source</w:t>
            </w:r>
            <w:r>
              <w:rPr>
                <w:b/>
                <w:bCs/>
              </w:rPr>
              <w:t xml:space="preserve"> &amp; Explanatory Notes</w:t>
            </w:r>
          </w:p>
        </w:tc>
      </w:tr>
      <w:tr w:rsidR="00111F2A" w14:paraId="13846884" w14:textId="77777777" w:rsidTr="00111F2A">
        <w:tc>
          <w:tcPr>
            <w:tcW w:w="1314" w:type="dxa"/>
            <w:tcBorders>
              <w:top w:val="single" w:sz="4" w:space="0" w:color="auto"/>
              <w:bottom w:val="single" w:sz="4" w:space="0" w:color="auto"/>
              <w:right w:val="single" w:sz="4" w:space="0" w:color="auto"/>
            </w:tcBorders>
          </w:tcPr>
          <w:p w14:paraId="6292E788" w14:textId="1E515DB8" w:rsidR="00111F2A" w:rsidRDefault="00111F2A" w:rsidP="00111F2A">
            <w:r>
              <w:t>1 (1)</w:t>
            </w:r>
          </w:p>
        </w:tc>
        <w:tc>
          <w:tcPr>
            <w:tcW w:w="1682" w:type="dxa"/>
            <w:tcBorders>
              <w:top w:val="single" w:sz="4" w:space="0" w:color="auto"/>
              <w:left w:val="nil"/>
              <w:bottom w:val="single" w:sz="4" w:space="0" w:color="auto"/>
              <w:right w:val="single" w:sz="4" w:space="0" w:color="auto"/>
            </w:tcBorders>
            <w:shd w:val="clear" w:color="auto" w:fill="auto"/>
          </w:tcPr>
          <w:p w14:paraId="38C948DD" w14:textId="43E63223" w:rsidR="00111F2A" w:rsidRDefault="00111F2A" w:rsidP="00111F2A">
            <w:r>
              <w:rPr>
                <w:rFonts w:ascii="Arial" w:hAnsi="Arial" w:cs="Arial"/>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CFD14D0" w14:textId="6AA2B892" w:rsidR="00111F2A" w:rsidRDefault="00111F2A" w:rsidP="00111F2A">
            <w:r>
              <w:rPr>
                <w:rFonts w:ascii="Arial" w:hAnsi="Arial" w:cs="Arial"/>
                <w:color w:val="000000"/>
              </w:rPr>
              <w:t>£157 (£151)</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341430D3" w14:textId="18803E8E" w:rsidR="00111F2A" w:rsidRDefault="00111F2A" w:rsidP="00111F2A">
            <w:r>
              <w:rPr>
                <w:rFonts w:ascii="Arial" w:hAnsi="Arial" w:cs="Arial"/>
                <w:color w:val="000000"/>
              </w:rPr>
              <w:t>£167</w:t>
            </w:r>
          </w:p>
        </w:tc>
        <w:tc>
          <w:tcPr>
            <w:tcW w:w="1275" w:type="dxa"/>
            <w:vMerge w:val="restart"/>
            <w:tcBorders>
              <w:top w:val="single" w:sz="4" w:space="0" w:color="auto"/>
              <w:left w:val="single" w:sz="4" w:space="0" w:color="auto"/>
              <w:bottom w:val="single" w:sz="4" w:space="0" w:color="auto"/>
              <w:right w:val="single" w:sz="4" w:space="0" w:color="auto"/>
            </w:tcBorders>
          </w:tcPr>
          <w:p w14:paraId="05A1F083" w14:textId="77777777" w:rsidR="00111F2A" w:rsidRDefault="00111F2A" w:rsidP="00111F2A">
            <w:r>
              <w:t>Lowest to Highest</w:t>
            </w:r>
          </w:p>
        </w:tc>
        <w:tc>
          <w:tcPr>
            <w:tcW w:w="1560" w:type="dxa"/>
            <w:tcBorders>
              <w:top w:val="single" w:sz="4" w:space="0" w:color="auto"/>
              <w:left w:val="single" w:sz="4" w:space="0" w:color="auto"/>
              <w:bottom w:val="single" w:sz="4" w:space="0" w:color="auto"/>
              <w:right w:val="single" w:sz="4" w:space="0" w:color="auto"/>
            </w:tcBorders>
          </w:tcPr>
          <w:p w14:paraId="30948D9C" w14:textId="6F257690" w:rsidR="00111F2A" w:rsidRDefault="00111F2A" w:rsidP="00111F2A">
            <w:r>
              <w:t>9 (9)</w:t>
            </w:r>
          </w:p>
        </w:tc>
        <w:tc>
          <w:tcPr>
            <w:tcW w:w="1559" w:type="dxa"/>
            <w:tcBorders>
              <w:top w:val="single" w:sz="4" w:space="0" w:color="auto"/>
              <w:left w:val="single" w:sz="4" w:space="0" w:color="auto"/>
              <w:bottom w:val="single" w:sz="4" w:space="0" w:color="auto"/>
              <w:right w:val="nil"/>
            </w:tcBorders>
            <w:shd w:val="clear" w:color="auto" w:fill="auto"/>
          </w:tcPr>
          <w:p w14:paraId="4E09601B" w14:textId="4F320279" w:rsidR="00111F2A" w:rsidRDefault="00111F2A" w:rsidP="00111F2A">
            <w:r>
              <w:rPr>
                <w:rFonts w:ascii="Arial" w:hAnsi="Arial" w:cs="Arial"/>
                <w:color w:val="000000"/>
              </w:rPr>
              <w:t>21</w:t>
            </w:r>
          </w:p>
        </w:tc>
        <w:tc>
          <w:tcPr>
            <w:tcW w:w="4252" w:type="dxa"/>
            <w:vMerge w:val="restart"/>
            <w:tcBorders>
              <w:top w:val="single" w:sz="4" w:space="0" w:color="auto"/>
              <w:left w:val="single" w:sz="4" w:space="0" w:color="auto"/>
              <w:bottom w:val="single" w:sz="4" w:space="0" w:color="auto"/>
              <w:right w:val="single" w:sz="4" w:space="0" w:color="auto"/>
            </w:tcBorders>
          </w:tcPr>
          <w:p w14:paraId="58B8BBC2" w14:textId="7309343B" w:rsidR="00111F2A" w:rsidRDefault="00111F2A" w:rsidP="00111F2A">
            <w:r w:rsidRPr="00D0795E">
              <w:t>The median for district councils in England was £19</w:t>
            </w:r>
            <w:r>
              <w:t>6</w:t>
            </w:r>
            <w:r w:rsidRPr="00D0795E">
              <w:t>. The median for districts in Lincolnshire was £</w:t>
            </w:r>
            <w:r>
              <w:t>197.56</w:t>
            </w:r>
            <w:r w:rsidRPr="00D0795E">
              <w:t>. The median for authorities in the East Midlands was £1</w:t>
            </w:r>
            <w:r>
              <w:t>85.56</w:t>
            </w:r>
            <w:r w:rsidRPr="00D0795E">
              <w:t>.</w:t>
            </w:r>
            <w:r>
              <w:t xml:space="preserve"> </w:t>
            </w:r>
            <w:r w:rsidRPr="002D1F2D">
              <w:t>The median for SKDC’s CIPFA Peers was £</w:t>
            </w:r>
            <w:r>
              <w:t>183.55</w:t>
            </w:r>
            <w:r w:rsidRPr="002D1F2D">
              <w:t>.</w:t>
            </w:r>
          </w:p>
        </w:tc>
        <w:tc>
          <w:tcPr>
            <w:tcW w:w="5617" w:type="dxa"/>
            <w:vMerge w:val="restart"/>
            <w:tcBorders>
              <w:top w:val="single" w:sz="4" w:space="0" w:color="auto"/>
              <w:left w:val="single" w:sz="4" w:space="0" w:color="auto"/>
              <w:bottom w:val="single" w:sz="4" w:space="0" w:color="auto"/>
            </w:tcBorders>
          </w:tcPr>
          <w:p w14:paraId="4207D40C" w14:textId="77777777" w:rsidR="00111F2A" w:rsidRDefault="00111F2A" w:rsidP="00111F2A">
            <w:pPr>
              <w:rPr>
                <w:i/>
                <w:iCs/>
              </w:rPr>
            </w:pPr>
            <w:r w:rsidRPr="008E174E">
              <w:rPr>
                <w:i/>
                <w:iCs/>
              </w:rPr>
              <w:t>DLUHC: Live tables on Council Tax, Band D Council Tax figures 1993 onwards (accessed through OFLOG Local Authority Data Explorer)</w:t>
            </w:r>
          </w:p>
          <w:p w14:paraId="415EB0A4" w14:textId="77777777" w:rsidR="00111F2A" w:rsidRDefault="00111F2A" w:rsidP="00111F2A">
            <w:pPr>
              <w:rPr>
                <w:i/>
                <w:iCs/>
              </w:rPr>
            </w:pPr>
          </w:p>
          <w:p w14:paraId="68AB6D13" w14:textId="77777777" w:rsidR="00111F2A" w:rsidRPr="008855E6" w:rsidRDefault="00111F2A" w:rsidP="00111F2A">
            <w:pPr>
              <w:rPr>
                <w:i/>
                <w:iCs/>
              </w:rPr>
            </w:pPr>
            <w:r>
              <w:rPr>
                <w:i/>
                <w:iCs/>
              </w:rPr>
              <w:t>Table 5: excluding Parish Precepts</w:t>
            </w:r>
          </w:p>
        </w:tc>
      </w:tr>
      <w:tr w:rsidR="00111F2A" w14:paraId="09A13821" w14:textId="77777777" w:rsidTr="00111F2A">
        <w:tc>
          <w:tcPr>
            <w:tcW w:w="1314" w:type="dxa"/>
            <w:tcBorders>
              <w:top w:val="single" w:sz="4" w:space="0" w:color="auto"/>
              <w:bottom w:val="single" w:sz="4" w:space="0" w:color="auto"/>
              <w:right w:val="single" w:sz="4" w:space="0" w:color="auto"/>
            </w:tcBorders>
          </w:tcPr>
          <w:p w14:paraId="59AA5808" w14:textId="0A645C4C" w:rsidR="00111F2A" w:rsidRDefault="00111F2A" w:rsidP="00111F2A">
            <w:r>
              <w:t>2 (2)</w:t>
            </w:r>
          </w:p>
        </w:tc>
        <w:tc>
          <w:tcPr>
            <w:tcW w:w="1682" w:type="dxa"/>
            <w:tcBorders>
              <w:top w:val="single" w:sz="4" w:space="0" w:color="auto"/>
              <w:left w:val="nil"/>
              <w:bottom w:val="single" w:sz="4" w:space="0" w:color="auto"/>
              <w:right w:val="single" w:sz="4" w:space="0" w:color="auto"/>
            </w:tcBorders>
            <w:shd w:val="clear" w:color="auto" w:fill="auto"/>
          </w:tcPr>
          <w:p w14:paraId="77002111" w14:textId="711E5489" w:rsidR="00111F2A" w:rsidRDefault="00111F2A" w:rsidP="00111F2A">
            <w:r>
              <w:rPr>
                <w:rFonts w:ascii="Arial" w:hAnsi="Arial" w:cs="Arial"/>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B01742C" w14:textId="0BB6C1C2" w:rsidR="00111F2A" w:rsidRDefault="00111F2A" w:rsidP="00111F2A">
            <w:r>
              <w:rPr>
                <w:rFonts w:ascii="Arial" w:hAnsi="Arial" w:cs="Arial"/>
                <w:color w:val="000000"/>
              </w:rPr>
              <w:t>£174 (£168)</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61D2A482" w14:textId="0AEC9692" w:rsidR="00111F2A" w:rsidRDefault="00111F2A" w:rsidP="00111F2A">
            <w:r>
              <w:rPr>
                <w:rFonts w:ascii="Arial" w:hAnsi="Arial" w:cs="Arial"/>
                <w:color w:val="000000"/>
              </w:rPr>
              <w:t>£184</w:t>
            </w:r>
          </w:p>
        </w:tc>
        <w:tc>
          <w:tcPr>
            <w:tcW w:w="1275" w:type="dxa"/>
            <w:vMerge/>
            <w:tcBorders>
              <w:top w:val="single" w:sz="4" w:space="0" w:color="auto"/>
              <w:left w:val="single" w:sz="4" w:space="0" w:color="auto"/>
              <w:bottom w:val="single" w:sz="4" w:space="0" w:color="auto"/>
              <w:right w:val="single" w:sz="4" w:space="0" w:color="auto"/>
            </w:tcBorders>
          </w:tcPr>
          <w:p w14:paraId="68FDF7F9"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721F091C" w14:textId="67E53925" w:rsidR="00111F2A" w:rsidRDefault="00111F2A" w:rsidP="00111F2A">
            <w:r>
              <w:t>8 (8)</w:t>
            </w:r>
          </w:p>
        </w:tc>
        <w:tc>
          <w:tcPr>
            <w:tcW w:w="1559" w:type="dxa"/>
            <w:tcBorders>
              <w:top w:val="single" w:sz="4" w:space="0" w:color="auto"/>
              <w:left w:val="single" w:sz="4" w:space="0" w:color="auto"/>
              <w:bottom w:val="single" w:sz="4" w:space="0" w:color="auto"/>
              <w:right w:val="nil"/>
            </w:tcBorders>
            <w:shd w:val="clear" w:color="auto" w:fill="auto"/>
          </w:tcPr>
          <w:p w14:paraId="2BAD6877" w14:textId="4C95BA4B" w:rsidR="00111F2A" w:rsidRDefault="00111F2A" w:rsidP="00111F2A">
            <w:r>
              <w:rPr>
                <w:rFonts w:ascii="Arial" w:hAnsi="Arial" w:cs="Arial"/>
                <w:color w:val="000000"/>
              </w:rPr>
              <w:t>39</w:t>
            </w:r>
          </w:p>
        </w:tc>
        <w:tc>
          <w:tcPr>
            <w:tcW w:w="4252" w:type="dxa"/>
            <w:vMerge/>
            <w:tcBorders>
              <w:top w:val="single" w:sz="4" w:space="0" w:color="auto"/>
              <w:left w:val="single" w:sz="4" w:space="0" w:color="auto"/>
              <w:bottom w:val="single" w:sz="4" w:space="0" w:color="auto"/>
              <w:right w:val="single" w:sz="4" w:space="0" w:color="auto"/>
            </w:tcBorders>
          </w:tcPr>
          <w:p w14:paraId="368D6949" w14:textId="77777777" w:rsidR="00111F2A" w:rsidRDefault="00111F2A" w:rsidP="00111F2A"/>
        </w:tc>
        <w:tc>
          <w:tcPr>
            <w:tcW w:w="5617" w:type="dxa"/>
            <w:vMerge/>
            <w:tcBorders>
              <w:top w:val="single" w:sz="4" w:space="0" w:color="auto"/>
              <w:left w:val="single" w:sz="4" w:space="0" w:color="auto"/>
              <w:bottom w:val="single" w:sz="4" w:space="0" w:color="auto"/>
            </w:tcBorders>
          </w:tcPr>
          <w:p w14:paraId="6A0CD701" w14:textId="77777777" w:rsidR="00111F2A" w:rsidRDefault="00111F2A" w:rsidP="00111F2A"/>
        </w:tc>
      </w:tr>
      <w:tr w:rsidR="00111F2A" w14:paraId="244BD420" w14:textId="77777777" w:rsidTr="00111F2A">
        <w:tc>
          <w:tcPr>
            <w:tcW w:w="1314" w:type="dxa"/>
            <w:tcBorders>
              <w:top w:val="single" w:sz="4" w:space="0" w:color="auto"/>
              <w:bottom w:val="single" w:sz="4" w:space="0" w:color="auto"/>
              <w:right w:val="single" w:sz="4" w:space="0" w:color="auto"/>
            </w:tcBorders>
          </w:tcPr>
          <w:p w14:paraId="08F2F9A5" w14:textId="301F7BEA" w:rsidR="00111F2A" w:rsidRDefault="00111F2A" w:rsidP="00111F2A">
            <w:r>
              <w:t>3 (3)</w:t>
            </w:r>
          </w:p>
        </w:tc>
        <w:tc>
          <w:tcPr>
            <w:tcW w:w="1682" w:type="dxa"/>
            <w:tcBorders>
              <w:top w:val="single" w:sz="4" w:space="0" w:color="auto"/>
              <w:left w:val="nil"/>
              <w:bottom w:val="single" w:sz="4" w:space="0" w:color="auto"/>
              <w:right w:val="single" w:sz="4" w:space="0" w:color="auto"/>
            </w:tcBorders>
            <w:shd w:val="clear" w:color="auto" w:fill="auto"/>
          </w:tcPr>
          <w:p w14:paraId="6C5FF67F" w14:textId="339DF438" w:rsidR="00111F2A" w:rsidRDefault="00111F2A" w:rsidP="00111F2A">
            <w:r>
              <w:rPr>
                <w:rFonts w:ascii="Arial" w:hAnsi="Arial" w:cs="Arial"/>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8051E2" w14:textId="75C7CA49" w:rsidR="00111F2A" w:rsidRDefault="00111F2A" w:rsidP="00111F2A">
            <w:r>
              <w:rPr>
                <w:rFonts w:ascii="Arial" w:hAnsi="Arial" w:cs="Arial"/>
                <w:color w:val="000000"/>
              </w:rPr>
              <w:t>£180 (£174)</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DD22CBC" w14:textId="31590F5E" w:rsidR="00111F2A" w:rsidRDefault="00111F2A" w:rsidP="00111F2A">
            <w:r>
              <w:rPr>
                <w:rFonts w:ascii="Arial" w:hAnsi="Arial" w:cs="Arial"/>
                <w:color w:val="000000"/>
              </w:rPr>
              <w:t>£189</w:t>
            </w:r>
          </w:p>
        </w:tc>
        <w:tc>
          <w:tcPr>
            <w:tcW w:w="1275" w:type="dxa"/>
            <w:vMerge/>
            <w:tcBorders>
              <w:top w:val="single" w:sz="4" w:space="0" w:color="auto"/>
              <w:left w:val="single" w:sz="4" w:space="0" w:color="auto"/>
              <w:bottom w:val="single" w:sz="4" w:space="0" w:color="auto"/>
              <w:right w:val="single" w:sz="4" w:space="0" w:color="auto"/>
            </w:tcBorders>
          </w:tcPr>
          <w:p w14:paraId="730AF5C5"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06837FBB" w14:textId="421D55C6" w:rsidR="00111F2A" w:rsidRDefault="00111F2A" w:rsidP="00111F2A">
            <w:r>
              <w:t>7 (7)</w:t>
            </w:r>
          </w:p>
        </w:tc>
        <w:tc>
          <w:tcPr>
            <w:tcW w:w="1559" w:type="dxa"/>
            <w:tcBorders>
              <w:top w:val="single" w:sz="4" w:space="0" w:color="auto"/>
              <w:left w:val="single" w:sz="4" w:space="0" w:color="auto"/>
              <w:bottom w:val="single" w:sz="4" w:space="0" w:color="auto"/>
              <w:right w:val="nil"/>
            </w:tcBorders>
            <w:shd w:val="clear" w:color="auto" w:fill="auto"/>
          </w:tcPr>
          <w:p w14:paraId="7DC7D177" w14:textId="27189D06" w:rsidR="00111F2A" w:rsidRDefault="00111F2A" w:rsidP="00111F2A">
            <w:r>
              <w:rPr>
                <w:rFonts w:ascii="Arial" w:hAnsi="Arial" w:cs="Arial"/>
                <w:color w:val="000000"/>
              </w:rPr>
              <w:t>57</w:t>
            </w:r>
          </w:p>
        </w:tc>
        <w:tc>
          <w:tcPr>
            <w:tcW w:w="4252" w:type="dxa"/>
            <w:vMerge/>
            <w:tcBorders>
              <w:top w:val="single" w:sz="4" w:space="0" w:color="auto"/>
              <w:left w:val="single" w:sz="4" w:space="0" w:color="auto"/>
              <w:bottom w:val="single" w:sz="4" w:space="0" w:color="auto"/>
              <w:right w:val="single" w:sz="4" w:space="0" w:color="auto"/>
            </w:tcBorders>
          </w:tcPr>
          <w:p w14:paraId="75BBCCB2" w14:textId="77777777" w:rsidR="00111F2A" w:rsidRDefault="00111F2A" w:rsidP="00111F2A"/>
        </w:tc>
        <w:tc>
          <w:tcPr>
            <w:tcW w:w="5617" w:type="dxa"/>
            <w:vMerge/>
            <w:tcBorders>
              <w:top w:val="single" w:sz="4" w:space="0" w:color="auto"/>
              <w:left w:val="single" w:sz="4" w:space="0" w:color="auto"/>
              <w:bottom w:val="single" w:sz="4" w:space="0" w:color="auto"/>
            </w:tcBorders>
          </w:tcPr>
          <w:p w14:paraId="40A8BC47" w14:textId="77777777" w:rsidR="00111F2A" w:rsidRDefault="00111F2A" w:rsidP="00111F2A"/>
        </w:tc>
      </w:tr>
      <w:tr w:rsidR="00111F2A" w14:paraId="26627125" w14:textId="77777777" w:rsidTr="00111F2A">
        <w:tc>
          <w:tcPr>
            <w:tcW w:w="1314" w:type="dxa"/>
            <w:tcBorders>
              <w:top w:val="single" w:sz="4" w:space="0" w:color="auto"/>
              <w:bottom w:val="single" w:sz="4" w:space="0" w:color="auto"/>
              <w:right w:val="single" w:sz="4" w:space="0" w:color="auto"/>
            </w:tcBorders>
          </w:tcPr>
          <w:p w14:paraId="0C158B6C" w14:textId="1F82D1BE" w:rsidR="00111F2A" w:rsidRDefault="00111F2A" w:rsidP="00111F2A">
            <w:r>
              <w:t>4 (4)</w:t>
            </w:r>
          </w:p>
        </w:tc>
        <w:tc>
          <w:tcPr>
            <w:tcW w:w="1682" w:type="dxa"/>
            <w:tcBorders>
              <w:top w:val="single" w:sz="4" w:space="0" w:color="auto"/>
              <w:left w:val="nil"/>
              <w:bottom w:val="single" w:sz="4" w:space="0" w:color="auto"/>
              <w:right w:val="single" w:sz="4" w:space="0" w:color="auto"/>
            </w:tcBorders>
            <w:shd w:val="clear" w:color="auto" w:fill="auto"/>
          </w:tcPr>
          <w:p w14:paraId="31925FC3" w14:textId="4DAEEA46" w:rsidR="00111F2A" w:rsidRDefault="00111F2A" w:rsidP="00111F2A">
            <w:r>
              <w:rPr>
                <w:rFonts w:ascii="Arial" w:hAnsi="Arial" w:cs="Arial"/>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7709827" w14:textId="0C11262F" w:rsidR="00111F2A" w:rsidRDefault="00111F2A" w:rsidP="00111F2A">
            <w:r>
              <w:rPr>
                <w:rFonts w:ascii="Arial" w:hAnsi="Arial" w:cs="Arial"/>
                <w:color w:val="000000"/>
              </w:rPr>
              <w:t>£198 (£192)</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1589E19E" w14:textId="40AF690F" w:rsidR="00111F2A" w:rsidRDefault="00111F2A" w:rsidP="00111F2A">
            <w:r>
              <w:rPr>
                <w:rFonts w:ascii="Arial" w:hAnsi="Arial" w:cs="Arial"/>
                <w:color w:val="000000"/>
              </w:rPr>
              <w:t>£210</w:t>
            </w:r>
          </w:p>
        </w:tc>
        <w:tc>
          <w:tcPr>
            <w:tcW w:w="1275" w:type="dxa"/>
            <w:vMerge/>
            <w:tcBorders>
              <w:top w:val="single" w:sz="4" w:space="0" w:color="auto"/>
              <w:left w:val="single" w:sz="4" w:space="0" w:color="auto"/>
              <w:bottom w:val="single" w:sz="4" w:space="0" w:color="auto"/>
              <w:right w:val="single" w:sz="4" w:space="0" w:color="auto"/>
            </w:tcBorders>
          </w:tcPr>
          <w:p w14:paraId="65A12EE2"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73906EB0" w14:textId="50562B58" w:rsidR="00111F2A" w:rsidRDefault="00111F2A" w:rsidP="00111F2A">
            <w:r>
              <w:t>5 (5)</w:t>
            </w:r>
          </w:p>
        </w:tc>
        <w:tc>
          <w:tcPr>
            <w:tcW w:w="1559" w:type="dxa"/>
            <w:tcBorders>
              <w:top w:val="single" w:sz="4" w:space="0" w:color="auto"/>
              <w:left w:val="single" w:sz="4" w:space="0" w:color="auto"/>
              <w:bottom w:val="single" w:sz="4" w:space="0" w:color="auto"/>
              <w:right w:val="nil"/>
            </w:tcBorders>
            <w:shd w:val="clear" w:color="auto" w:fill="auto"/>
          </w:tcPr>
          <w:p w14:paraId="06F346EF" w14:textId="764CB77C" w:rsidR="00111F2A" w:rsidRDefault="00111F2A" w:rsidP="00111F2A">
            <w:r>
              <w:rPr>
                <w:rFonts w:ascii="Arial" w:hAnsi="Arial" w:cs="Arial"/>
                <w:color w:val="000000"/>
              </w:rPr>
              <w:t>92</w:t>
            </w:r>
          </w:p>
        </w:tc>
        <w:tc>
          <w:tcPr>
            <w:tcW w:w="4252" w:type="dxa"/>
            <w:vMerge/>
            <w:tcBorders>
              <w:top w:val="single" w:sz="4" w:space="0" w:color="auto"/>
              <w:left w:val="single" w:sz="4" w:space="0" w:color="auto"/>
              <w:bottom w:val="single" w:sz="4" w:space="0" w:color="auto"/>
              <w:right w:val="single" w:sz="4" w:space="0" w:color="auto"/>
            </w:tcBorders>
          </w:tcPr>
          <w:p w14:paraId="3DF4EF01" w14:textId="77777777" w:rsidR="00111F2A" w:rsidRDefault="00111F2A" w:rsidP="00111F2A"/>
        </w:tc>
        <w:tc>
          <w:tcPr>
            <w:tcW w:w="5617" w:type="dxa"/>
            <w:vMerge/>
            <w:tcBorders>
              <w:top w:val="single" w:sz="4" w:space="0" w:color="auto"/>
              <w:left w:val="single" w:sz="4" w:space="0" w:color="auto"/>
              <w:bottom w:val="single" w:sz="4" w:space="0" w:color="auto"/>
            </w:tcBorders>
          </w:tcPr>
          <w:p w14:paraId="7881CB55" w14:textId="77777777" w:rsidR="00111F2A" w:rsidRDefault="00111F2A" w:rsidP="00111F2A"/>
        </w:tc>
      </w:tr>
      <w:tr w:rsidR="00111F2A" w14:paraId="0EE0E7C6" w14:textId="77777777" w:rsidTr="00111F2A">
        <w:tc>
          <w:tcPr>
            <w:tcW w:w="1314" w:type="dxa"/>
            <w:tcBorders>
              <w:top w:val="single" w:sz="4" w:space="0" w:color="auto"/>
              <w:bottom w:val="single" w:sz="4" w:space="0" w:color="auto"/>
              <w:right w:val="single" w:sz="4" w:space="0" w:color="auto"/>
            </w:tcBorders>
          </w:tcPr>
          <w:p w14:paraId="299B5642" w14:textId="3F034A54" w:rsidR="00111F2A" w:rsidRDefault="00111F2A" w:rsidP="00111F2A">
            <w:r>
              <w:t>5 (5)</w:t>
            </w:r>
          </w:p>
        </w:tc>
        <w:tc>
          <w:tcPr>
            <w:tcW w:w="1682" w:type="dxa"/>
            <w:tcBorders>
              <w:top w:val="single" w:sz="4" w:space="0" w:color="auto"/>
              <w:left w:val="nil"/>
              <w:bottom w:val="single" w:sz="4" w:space="0" w:color="auto"/>
              <w:right w:val="single" w:sz="4" w:space="0" w:color="auto"/>
            </w:tcBorders>
            <w:shd w:val="clear" w:color="auto" w:fill="auto"/>
          </w:tcPr>
          <w:p w14:paraId="4748F632" w14:textId="4A5E68C7" w:rsidR="00111F2A" w:rsidRDefault="00111F2A" w:rsidP="00111F2A">
            <w:r>
              <w:rPr>
                <w:rFonts w:ascii="Arial" w:hAnsi="Arial" w:cs="Arial"/>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19BC4C" w14:textId="7A1D461E" w:rsidR="00111F2A" w:rsidRDefault="00111F2A" w:rsidP="00111F2A">
            <w:r>
              <w:rPr>
                <w:rFonts w:ascii="Arial" w:hAnsi="Arial" w:cs="Arial"/>
                <w:color w:val="000000"/>
              </w:rPr>
              <w:t>£228 (£222)</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7598B2C" w14:textId="245E2B1C" w:rsidR="00111F2A" w:rsidRDefault="00111F2A" w:rsidP="00111F2A">
            <w:r>
              <w:rPr>
                <w:rFonts w:ascii="Arial" w:hAnsi="Arial" w:cs="Arial"/>
                <w:color w:val="000000"/>
              </w:rPr>
              <w:t>£242</w:t>
            </w:r>
          </w:p>
        </w:tc>
        <w:tc>
          <w:tcPr>
            <w:tcW w:w="1275" w:type="dxa"/>
            <w:vMerge/>
            <w:tcBorders>
              <w:top w:val="single" w:sz="4" w:space="0" w:color="auto"/>
              <w:left w:val="single" w:sz="4" w:space="0" w:color="auto"/>
              <w:bottom w:val="single" w:sz="4" w:space="0" w:color="auto"/>
              <w:right w:val="single" w:sz="4" w:space="0" w:color="auto"/>
            </w:tcBorders>
          </w:tcPr>
          <w:p w14:paraId="213CEF7A"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39BBE2A7" w14:textId="1B18D665" w:rsidR="00111F2A" w:rsidRDefault="00111F2A" w:rsidP="00111F2A">
            <w:r>
              <w:t>3 (3)</w:t>
            </w:r>
          </w:p>
        </w:tc>
        <w:tc>
          <w:tcPr>
            <w:tcW w:w="1559" w:type="dxa"/>
            <w:tcBorders>
              <w:top w:val="single" w:sz="4" w:space="0" w:color="auto"/>
              <w:left w:val="single" w:sz="4" w:space="0" w:color="auto"/>
              <w:bottom w:val="single" w:sz="4" w:space="0" w:color="auto"/>
              <w:right w:val="nil"/>
            </w:tcBorders>
            <w:shd w:val="clear" w:color="auto" w:fill="auto"/>
          </w:tcPr>
          <w:p w14:paraId="77F2F782" w14:textId="7827F4BF" w:rsidR="00111F2A" w:rsidRDefault="00111F2A" w:rsidP="00111F2A">
            <w:r>
              <w:rPr>
                <w:rFonts w:ascii="Arial" w:hAnsi="Arial" w:cs="Arial"/>
                <w:color w:val="000000"/>
              </w:rPr>
              <w:t>139</w:t>
            </w:r>
          </w:p>
        </w:tc>
        <w:tc>
          <w:tcPr>
            <w:tcW w:w="4252" w:type="dxa"/>
            <w:vMerge/>
            <w:tcBorders>
              <w:top w:val="single" w:sz="4" w:space="0" w:color="auto"/>
              <w:left w:val="single" w:sz="4" w:space="0" w:color="auto"/>
              <w:bottom w:val="single" w:sz="4" w:space="0" w:color="auto"/>
              <w:right w:val="single" w:sz="4" w:space="0" w:color="auto"/>
            </w:tcBorders>
          </w:tcPr>
          <w:p w14:paraId="3F0E2412" w14:textId="77777777" w:rsidR="00111F2A" w:rsidRDefault="00111F2A" w:rsidP="00111F2A"/>
        </w:tc>
        <w:tc>
          <w:tcPr>
            <w:tcW w:w="5617" w:type="dxa"/>
            <w:vMerge/>
            <w:tcBorders>
              <w:top w:val="single" w:sz="4" w:space="0" w:color="auto"/>
              <w:left w:val="single" w:sz="4" w:space="0" w:color="auto"/>
              <w:bottom w:val="single" w:sz="4" w:space="0" w:color="auto"/>
            </w:tcBorders>
          </w:tcPr>
          <w:p w14:paraId="1C8AAB78" w14:textId="77777777" w:rsidR="00111F2A" w:rsidRDefault="00111F2A" w:rsidP="00111F2A"/>
        </w:tc>
      </w:tr>
      <w:tr w:rsidR="00111F2A" w14:paraId="18F4E725" w14:textId="77777777" w:rsidTr="00111F2A">
        <w:tc>
          <w:tcPr>
            <w:tcW w:w="1314" w:type="dxa"/>
            <w:tcBorders>
              <w:top w:val="single" w:sz="4" w:space="0" w:color="auto"/>
              <w:bottom w:val="single" w:sz="4" w:space="0" w:color="auto"/>
              <w:right w:val="single" w:sz="4" w:space="0" w:color="auto"/>
            </w:tcBorders>
          </w:tcPr>
          <w:p w14:paraId="65284DDA" w14:textId="64771493" w:rsidR="00111F2A" w:rsidRDefault="00111F2A" w:rsidP="00111F2A">
            <w:r>
              <w:t>6 (6)</w:t>
            </w:r>
          </w:p>
        </w:tc>
        <w:tc>
          <w:tcPr>
            <w:tcW w:w="1682" w:type="dxa"/>
            <w:tcBorders>
              <w:top w:val="single" w:sz="4" w:space="0" w:color="auto"/>
              <w:left w:val="nil"/>
              <w:bottom w:val="single" w:sz="4" w:space="0" w:color="auto"/>
              <w:right w:val="single" w:sz="4" w:space="0" w:color="auto"/>
            </w:tcBorders>
            <w:shd w:val="clear" w:color="auto" w:fill="auto"/>
          </w:tcPr>
          <w:p w14:paraId="563F8381" w14:textId="22E682F8" w:rsidR="00111F2A" w:rsidRDefault="00111F2A" w:rsidP="00111F2A">
            <w:r>
              <w:rPr>
                <w:rFonts w:ascii="Arial" w:hAnsi="Arial" w:cs="Arial"/>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DA4C780" w14:textId="1D3BF9FC" w:rsidR="00111F2A" w:rsidRDefault="00111F2A" w:rsidP="00111F2A">
            <w:r>
              <w:rPr>
                <w:rFonts w:ascii="Arial" w:hAnsi="Arial" w:cs="Arial"/>
                <w:color w:val="000000"/>
              </w:rPr>
              <w:t>£239 (£234)</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158658F6" w14:textId="4BA88FA9" w:rsidR="00111F2A" w:rsidRDefault="00111F2A" w:rsidP="00111F2A">
            <w:r>
              <w:rPr>
                <w:rFonts w:ascii="Arial" w:hAnsi="Arial" w:cs="Arial"/>
                <w:color w:val="000000"/>
              </w:rPr>
              <w:t>£254</w:t>
            </w:r>
          </w:p>
        </w:tc>
        <w:tc>
          <w:tcPr>
            <w:tcW w:w="1275" w:type="dxa"/>
            <w:vMerge/>
            <w:tcBorders>
              <w:top w:val="single" w:sz="4" w:space="0" w:color="auto"/>
              <w:left w:val="single" w:sz="4" w:space="0" w:color="auto"/>
              <w:bottom w:val="single" w:sz="4" w:space="0" w:color="auto"/>
              <w:right w:val="single" w:sz="4" w:space="0" w:color="auto"/>
            </w:tcBorders>
          </w:tcPr>
          <w:p w14:paraId="5E0F9894"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175D3CFC" w14:textId="029B48A1" w:rsidR="00111F2A" w:rsidRDefault="00111F2A" w:rsidP="00111F2A">
            <w:r>
              <w:t>2 (2)</w:t>
            </w:r>
          </w:p>
        </w:tc>
        <w:tc>
          <w:tcPr>
            <w:tcW w:w="1559" w:type="dxa"/>
            <w:tcBorders>
              <w:top w:val="single" w:sz="4" w:space="0" w:color="auto"/>
              <w:left w:val="single" w:sz="4" w:space="0" w:color="auto"/>
              <w:bottom w:val="single" w:sz="4" w:space="0" w:color="auto"/>
              <w:right w:val="nil"/>
            </w:tcBorders>
            <w:shd w:val="clear" w:color="auto" w:fill="auto"/>
          </w:tcPr>
          <w:p w14:paraId="6EF95381" w14:textId="2FE54863" w:rsidR="00111F2A" w:rsidRDefault="00111F2A" w:rsidP="00111F2A">
            <w:r>
              <w:rPr>
                <w:rFonts w:ascii="Arial" w:hAnsi="Arial" w:cs="Arial"/>
                <w:color w:val="000000"/>
              </w:rPr>
              <w:t>147</w:t>
            </w:r>
          </w:p>
        </w:tc>
        <w:tc>
          <w:tcPr>
            <w:tcW w:w="4252" w:type="dxa"/>
            <w:vMerge/>
            <w:tcBorders>
              <w:top w:val="single" w:sz="4" w:space="0" w:color="auto"/>
              <w:left w:val="single" w:sz="4" w:space="0" w:color="auto"/>
              <w:bottom w:val="single" w:sz="4" w:space="0" w:color="auto"/>
              <w:right w:val="single" w:sz="4" w:space="0" w:color="auto"/>
            </w:tcBorders>
          </w:tcPr>
          <w:p w14:paraId="6E057266" w14:textId="77777777" w:rsidR="00111F2A" w:rsidRDefault="00111F2A" w:rsidP="00111F2A"/>
        </w:tc>
        <w:tc>
          <w:tcPr>
            <w:tcW w:w="5617" w:type="dxa"/>
            <w:vMerge/>
            <w:tcBorders>
              <w:top w:val="single" w:sz="4" w:space="0" w:color="auto"/>
              <w:left w:val="single" w:sz="4" w:space="0" w:color="auto"/>
              <w:bottom w:val="single" w:sz="4" w:space="0" w:color="auto"/>
            </w:tcBorders>
          </w:tcPr>
          <w:p w14:paraId="62029AAE" w14:textId="77777777" w:rsidR="00111F2A" w:rsidRDefault="00111F2A" w:rsidP="00111F2A"/>
        </w:tc>
      </w:tr>
      <w:tr w:rsidR="00111F2A" w14:paraId="1C34C51C" w14:textId="77777777" w:rsidTr="00111F2A">
        <w:tc>
          <w:tcPr>
            <w:tcW w:w="1314" w:type="dxa"/>
            <w:tcBorders>
              <w:top w:val="single" w:sz="4" w:space="0" w:color="auto"/>
              <w:bottom w:val="single" w:sz="4" w:space="0" w:color="auto"/>
              <w:right w:val="single" w:sz="4" w:space="0" w:color="auto"/>
            </w:tcBorders>
          </w:tcPr>
          <w:p w14:paraId="0654396E" w14:textId="46F2202C" w:rsidR="00111F2A" w:rsidRDefault="00111F2A" w:rsidP="00111F2A">
            <w:r>
              <w:t>7 (7)</w:t>
            </w:r>
          </w:p>
        </w:tc>
        <w:tc>
          <w:tcPr>
            <w:tcW w:w="1682" w:type="dxa"/>
            <w:tcBorders>
              <w:top w:val="single" w:sz="4" w:space="0" w:color="auto"/>
              <w:left w:val="nil"/>
              <w:bottom w:val="single" w:sz="4" w:space="0" w:color="auto"/>
              <w:right w:val="single" w:sz="4" w:space="0" w:color="auto"/>
            </w:tcBorders>
            <w:shd w:val="clear" w:color="auto" w:fill="auto"/>
          </w:tcPr>
          <w:p w14:paraId="682BF345" w14:textId="003B346C" w:rsidR="00111F2A" w:rsidRDefault="00111F2A" w:rsidP="00111F2A">
            <w:r>
              <w:rPr>
                <w:rFonts w:ascii="Arial" w:hAnsi="Arial" w:cs="Arial"/>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2094C0" w14:textId="3290DF82" w:rsidR="00111F2A" w:rsidRDefault="00111F2A" w:rsidP="00111F2A">
            <w:r>
              <w:rPr>
                <w:rFonts w:ascii="Arial" w:hAnsi="Arial" w:cs="Arial"/>
                <w:color w:val="000000"/>
              </w:rPr>
              <w:t>£291 (£285)</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71F77F29" w14:textId="1C9C32F8" w:rsidR="00111F2A" w:rsidRDefault="00111F2A" w:rsidP="00111F2A">
            <w:r>
              <w:rPr>
                <w:rFonts w:ascii="Arial" w:hAnsi="Arial" w:cs="Arial"/>
                <w:color w:val="000000"/>
              </w:rPr>
              <w:t>£308</w:t>
            </w:r>
          </w:p>
        </w:tc>
        <w:tc>
          <w:tcPr>
            <w:tcW w:w="1275" w:type="dxa"/>
            <w:vMerge/>
            <w:tcBorders>
              <w:top w:val="single" w:sz="4" w:space="0" w:color="auto"/>
              <w:left w:val="single" w:sz="4" w:space="0" w:color="auto"/>
              <w:bottom w:val="single" w:sz="4" w:space="0" w:color="auto"/>
              <w:right w:val="single" w:sz="4" w:space="0" w:color="auto"/>
            </w:tcBorders>
          </w:tcPr>
          <w:p w14:paraId="3ED63A03" w14:textId="77777777" w:rsidR="00111F2A" w:rsidRDefault="00111F2A" w:rsidP="00111F2A"/>
        </w:tc>
        <w:tc>
          <w:tcPr>
            <w:tcW w:w="1560" w:type="dxa"/>
            <w:tcBorders>
              <w:top w:val="single" w:sz="4" w:space="0" w:color="auto"/>
              <w:left w:val="single" w:sz="4" w:space="0" w:color="auto"/>
              <w:bottom w:val="single" w:sz="4" w:space="0" w:color="auto"/>
              <w:right w:val="single" w:sz="4" w:space="0" w:color="auto"/>
            </w:tcBorders>
          </w:tcPr>
          <w:p w14:paraId="3B7C5125" w14:textId="20D616D7" w:rsidR="00111F2A" w:rsidRDefault="00111F2A" w:rsidP="00111F2A">
            <w:r>
              <w:t>1 (1)</w:t>
            </w:r>
          </w:p>
        </w:tc>
        <w:tc>
          <w:tcPr>
            <w:tcW w:w="1559" w:type="dxa"/>
            <w:tcBorders>
              <w:top w:val="single" w:sz="4" w:space="0" w:color="auto"/>
              <w:left w:val="single" w:sz="4" w:space="0" w:color="auto"/>
              <w:bottom w:val="single" w:sz="4" w:space="0" w:color="auto"/>
              <w:right w:val="nil"/>
            </w:tcBorders>
            <w:shd w:val="clear" w:color="auto" w:fill="auto"/>
          </w:tcPr>
          <w:p w14:paraId="2B41B9EE" w14:textId="0A16C154" w:rsidR="00111F2A" w:rsidRDefault="00111F2A" w:rsidP="00111F2A">
            <w:r>
              <w:rPr>
                <w:rFonts w:ascii="Arial" w:hAnsi="Arial" w:cs="Arial"/>
                <w:color w:val="000000"/>
              </w:rPr>
              <w:t>175</w:t>
            </w:r>
          </w:p>
        </w:tc>
        <w:tc>
          <w:tcPr>
            <w:tcW w:w="4252" w:type="dxa"/>
            <w:vMerge/>
            <w:tcBorders>
              <w:top w:val="single" w:sz="4" w:space="0" w:color="auto"/>
              <w:left w:val="single" w:sz="4" w:space="0" w:color="auto"/>
              <w:bottom w:val="single" w:sz="4" w:space="0" w:color="auto"/>
              <w:right w:val="single" w:sz="4" w:space="0" w:color="auto"/>
            </w:tcBorders>
          </w:tcPr>
          <w:p w14:paraId="1386AFDD" w14:textId="77777777" w:rsidR="00111F2A" w:rsidRDefault="00111F2A" w:rsidP="00111F2A"/>
        </w:tc>
        <w:tc>
          <w:tcPr>
            <w:tcW w:w="5617" w:type="dxa"/>
            <w:vMerge/>
            <w:tcBorders>
              <w:top w:val="single" w:sz="4" w:space="0" w:color="auto"/>
              <w:left w:val="single" w:sz="4" w:space="0" w:color="auto"/>
              <w:bottom w:val="single" w:sz="4" w:space="0" w:color="auto"/>
            </w:tcBorders>
          </w:tcPr>
          <w:p w14:paraId="311560F1" w14:textId="77777777" w:rsidR="00111F2A" w:rsidRDefault="00111F2A" w:rsidP="00111F2A"/>
        </w:tc>
      </w:tr>
    </w:tbl>
    <w:p w14:paraId="1C22331C" w14:textId="77777777" w:rsidR="0059661E" w:rsidRDefault="0059661E"/>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104"/>
        <w:gridCol w:w="4908"/>
      </w:tblGrid>
      <w:tr w:rsidR="00111F2A" w14:paraId="709750DF" w14:textId="77777777" w:rsidTr="005857FD">
        <w:tc>
          <w:tcPr>
            <w:tcW w:w="20921" w:type="dxa"/>
            <w:gridSpan w:val="10"/>
          </w:tcPr>
          <w:p w14:paraId="015D3A6E" w14:textId="77777777" w:rsidR="00111F2A" w:rsidRPr="008855E6" w:rsidRDefault="00111F2A" w:rsidP="005857FD">
            <w:pPr>
              <w:rPr>
                <w:b/>
                <w:bCs/>
              </w:rPr>
            </w:pPr>
            <w:r w:rsidRPr="008855E6">
              <w:rPr>
                <w:b/>
                <w:bCs/>
                <w:sz w:val="28"/>
                <w:szCs w:val="28"/>
              </w:rPr>
              <w:t xml:space="preserve">OFLOG Performance Indicators: Financial Resilience – Lincolnshire District Councils – Metric </w:t>
            </w:r>
            <w:r>
              <w:rPr>
                <w:b/>
                <w:bCs/>
                <w:sz w:val="28"/>
                <w:szCs w:val="28"/>
              </w:rPr>
              <w:t>6: Debt Servicing as percentage of core spending power</w:t>
            </w:r>
          </w:p>
        </w:tc>
      </w:tr>
      <w:tr w:rsidR="00111F2A" w14:paraId="0CB438B8" w14:textId="77777777" w:rsidTr="005857FD">
        <w:tc>
          <w:tcPr>
            <w:tcW w:w="20921" w:type="dxa"/>
            <w:gridSpan w:val="10"/>
          </w:tcPr>
          <w:p w14:paraId="53D5B293" w14:textId="4B873E40" w:rsidR="00111F2A" w:rsidRPr="0059661E" w:rsidRDefault="00111F2A" w:rsidP="00111F2A">
            <w:pPr>
              <w:rPr>
                <w:b/>
                <w:bCs/>
                <w:sz w:val="24"/>
                <w:szCs w:val="24"/>
              </w:rPr>
            </w:pPr>
            <w:r w:rsidRPr="0059661E">
              <w:rPr>
                <w:b/>
                <w:bCs/>
                <w:sz w:val="24"/>
                <w:szCs w:val="24"/>
              </w:rPr>
              <w:t>All data is for the Financial Year 2022/23. Data for the previous financial year 2021/22 is in brackets. For finance data, national rankings and decile placings are calculated from the pool of English district councils. Counties, unitaries, metropolitans and London borough councils are excluded. Authorities where data is lacking for a specific metric are also excluded. For this metric the total pool is 1</w:t>
            </w:r>
            <w:r w:rsidR="00996D43">
              <w:rPr>
                <w:b/>
                <w:bCs/>
                <w:sz w:val="24"/>
                <w:szCs w:val="24"/>
              </w:rPr>
              <w:t>81</w:t>
            </w:r>
            <w:r w:rsidRPr="0059661E">
              <w:rPr>
                <w:b/>
                <w:bCs/>
                <w:sz w:val="24"/>
                <w:szCs w:val="24"/>
              </w:rPr>
              <w:t xml:space="preserve"> with 1st being the best performer. </w:t>
            </w:r>
          </w:p>
          <w:p w14:paraId="271FDED4" w14:textId="743807ED" w:rsidR="00111F2A" w:rsidRPr="008855E6" w:rsidRDefault="00111F2A" w:rsidP="005857FD">
            <w:pPr>
              <w:rPr>
                <w:b/>
                <w:bCs/>
                <w:sz w:val="24"/>
                <w:szCs w:val="24"/>
              </w:rPr>
            </w:pPr>
            <w:r w:rsidRPr="0059661E">
              <w:rPr>
                <w:b/>
                <w:bCs/>
                <w:sz w:val="24"/>
                <w:szCs w:val="24"/>
              </w:rPr>
              <w:t>Decile Key: Decile 9 – in the top 20% of English local authorities, Decile 2 – in the bottom 20% of English local authorities, Deciles 6+ in the top half of English local authorities for given indicator.</w:t>
            </w:r>
          </w:p>
        </w:tc>
      </w:tr>
      <w:tr w:rsidR="00111F2A" w14:paraId="68C44867" w14:textId="77777777" w:rsidTr="00EE7F87">
        <w:tc>
          <w:tcPr>
            <w:tcW w:w="1314" w:type="dxa"/>
            <w:tcBorders>
              <w:bottom w:val="single" w:sz="4" w:space="0" w:color="auto"/>
            </w:tcBorders>
          </w:tcPr>
          <w:p w14:paraId="78F0AC2E" w14:textId="77777777" w:rsidR="00111F2A" w:rsidRPr="008855E6" w:rsidRDefault="00111F2A" w:rsidP="005857FD">
            <w:pPr>
              <w:rPr>
                <w:b/>
                <w:bCs/>
              </w:rPr>
            </w:pPr>
            <w:r w:rsidRPr="008855E6">
              <w:rPr>
                <w:b/>
                <w:bCs/>
              </w:rPr>
              <w:t>Lincolnshire Ranking</w:t>
            </w:r>
          </w:p>
        </w:tc>
        <w:tc>
          <w:tcPr>
            <w:tcW w:w="1682" w:type="dxa"/>
            <w:tcBorders>
              <w:bottom w:val="single" w:sz="4" w:space="0" w:color="auto"/>
            </w:tcBorders>
          </w:tcPr>
          <w:p w14:paraId="440A4989" w14:textId="77777777" w:rsidR="00111F2A" w:rsidRPr="008855E6" w:rsidRDefault="00111F2A" w:rsidP="005857FD">
            <w:pPr>
              <w:rPr>
                <w:b/>
                <w:bCs/>
              </w:rPr>
            </w:pPr>
            <w:r w:rsidRPr="008855E6">
              <w:rPr>
                <w:b/>
                <w:bCs/>
              </w:rPr>
              <w:t>Authority</w:t>
            </w:r>
          </w:p>
        </w:tc>
        <w:tc>
          <w:tcPr>
            <w:tcW w:w="1133" w:type="dxa"/>
            <w:tcBorders>
              <w:bottom w:val="single" w:sz="4" w:space="0" w:color="auto"/>
            </w:tcBorders>
          </w:tcPr>
          <w:p w14:paraId="59B3EB1A" w14:textId="77777777" w:rsidR="00111F2A" w:rsidRPr="008855E6" w:rsidRDefault="00111F2A" w:rsidP="005857FD">
            <w:pPr>
              <w:rPr>
                <w:b/>
                <w:bCs/>
              </w:rPr>
            </w:pPr>
            <w:r w:rsidRPr="008855E6">
              <w:rPr>
                <w:b/>
                <w:bCs/>
              </w:rPr>
              <w:t>Value</w:t>
            </w:r>
          </w:p>
        </w:tc>
        <w:tc>
          <w:tcPr>
            <w:tcW w:w="2689" w:type="dxa"/>
            <w:tcBorders>
              <w:bottom w:val="single" w:sz="4" w:space="0" w:color="auto"/>
            </w:tcBorders>
          </w:tcPr>
          <w:p w14:paraId="664F3895" w14:textId="77777777" w:rsidR="00111F2A" w:rsidRPr="008855E6" w:rsidRDefault="00111F2A" w:rsidP="005857FD">
            <w:pPr>
              <w:rPr>
                <w:b/>
                <w:bCs/>
              </w:rPr>
            </w:pPr>
            <w:r>
              <w:rPr>
                <w:b/>
                <w:bCs/>
              </w:rPr>
              <w:t>Total Debt Servicing Costs</w:t>
            </w:r>
            <w:r w:rsidRPr="008855E6">
              <w:rPr>
                <w:b/>
                <w:bCs/>
              </w:rPr>
              <w:t xml:space="preserve"> (£ </w:t>
            </w:r>
            <w:r>
              <w:rPr>
                <w:b/>
                <w:bCs/>
              </w:rPr>
              <w:t>millions</w:t>
            </w:r>
            <w:r w:rsidRPr="008855E6">
              <w:rPr>
                <w:b/>
                <w:bCs/>
              </w:rPr>
              <w:t>)</w:t>
            </w:r>
          </w:p>
        </w:tc>
        <w:tc>
          <w:tcPr>
            <w:tcW w:w="2391" w:type="dxa"/>
            <w:tcBorders>
              <w:bottom w:val="single" w:sz="4" w:space="0" w:color="auto"/>
            </w:tcBorders>
          </w:tcPr>
          <w:p w14:paraId="083A9ACD" w14:textId="77777777" w:rsidR="00111F2A" w:rsidRPr="008855E6" w:rsidRDefault="00111F2A" w:rsidP="005857FD">
            <w:pPr>
              <w:rPr>
                <w:b/>
                <w:bCs/>
              </w:rPr>
            </w:pPr>
            <w:r w:rsidRPr="00600AFC">
              <w:rPr>
                <w:b/>
                <w:bCs/>
              </w:rPr>
              <w:t>Total Core Spending Power (£ millions)</w:t>
            </w:r>
          </w:p>
        </w:tc>
        <w:tc>
          <w:tcPr>
            <w:tcW w:w="1007" w:type="dxa"/>
            <w:tcBorders>
              <w:bottom w:val="single" w:sz="4" w:space="0" w:color="auto"/>
            </w:tcBorders>
          </w:tcPr>
          <w:p w14:paraId="4B5168D0" w14:textId="77777777" w:rsidR="00111F2A" w:rsidRPr="008855E6" w:rsidRDefault="00111F2A" w:rsidP="005857FD">
            <w:pPr>
              <w:rPr>
                <w:b/>
                <w:bCs/>
              </w:rPr>
            </w:pPr>
            <w:r w:rsidRPr="008855E6">
              <w:rPr>
                <w:b/>
                <w:bCs/>
              </w:rPr>
              <w:t>Data Polarity</w:t>
            </w:r>
          </w:p>
        </w:tc>
        <w:tc>
          <w:tcPr>
            <w:tcW w:w="1559" w:type="dxa"/>
            <w:tcBorders>
              <w:bottom w:val="single" w:sz="4" w:space="0" w:color="auto"/>
            </w:tcBorders>
          </w:tcPr>
          <w:p w14:paraId="0D2ED233" w14:textId="77777777" w:rsidR="00111F2A" w:rsidRPr="008855E6" w:rsidRDefault="00111F2A" w:rsidP="005857FD">
            <w:pPr>
              <w:rPr>
                <w:b/>
                <w:bCs/>
              </w:rPr>
            </w:pPr>
            <w:r w:rsidRPr="008855E6">
              <w:rPr>
                <w:b/>
                <w:bCs/>
              </w:rPr>
              <w:t>National Decile Placing</w:t>
            </w:r>
          </w:p>
        </w:tc>
        <w:tc>
          <w:tcPr>
            <w:tcW w:w="1134" w:type="dxa"/>
            <w:tcBorders>
              <w:bottom w:val="single" w:sz="4" w:space="0" w:color="auto"/>
            </w:tcBorders>
          </w:tcPr>
          <w:p w14:paraId="5842B1D0" w14:textId="77777777" w:rsidR="00111F2A" w:rsidRPr="008855E6" w:rsidRDefault="00111F2A" w:rsidP="005857FD">
            <w:pPr>
              <w:rPr>
                <w:b/>
                <w:bCs/>
              </w:rPr>
            </w:pPr>
            <w:r w:rsidRPr="008855E6">
              <w:rPr>
                <w:b/>
                <w:bCs/>
              </w:rPr>
              <w:t>National Ranking</w:t>
            </w:r>
          </w:p>
        </w:tc>
        <w:tc>
          <w:tcPr>
            <w:tcW w:w="3104" w:type="dxa"/>
            <w:tcBorders>
              <w:bottom w:val="single" w:sz="4" w:space="0" w:color="auto"/>
            </w:tcBorders>
          </w:tcPr>
          <w:p w14:paraId="11AC56C0" w14:textId="77777777" w:rsidR="00111F2A" w:rsidRPr="008855E6" w:rsidRDefault="00111F2A" w:rsidP="005857FD">
            <w:pPr>
              <w:rPr>
                <w:b/>
                <w:bCs/>
              </w:rPr>
            </w:pPr>
            <w:r>
              <w:rPr>
                <w:b/>
                <w:bCs/>
              </w:rPr>
              <w:t>National &amp; Regional Context</w:t>
            </w:r>
          </w:p>
        </w:tc>
        <w:tc>
          <w:tcPr>
            <w:tcW w:w="4908" w:type="dxa"/>
            <w:tcBorders>
              <w:bottom w:val="single" w:sz="4" w:space="0" w:color="auto"/>
            </w:tcBorders>
          </w:tcPr>
          <w:p w14:paraId="1B88C397" w14:textId="77777777" w:rsidR="00111F2A" w:rsidRPr="008855E6" w:rsidRDefault="00111F2A" w:rsidP="005857FD">
            <w:pPr>
              <w:rPr>
                <w:b/>
                <w:bCs/>
              </w:rPr>
            </w:pPr>
            <w:r w:rsidRPr="008855E6">
              <w:rPr>
                <w:b/>
                <w:bCs/>
              </w:rPr>
              <w:t>Source</w:t>
            </w:r>
            <w:r>
              <w:rPr>
                <w:b/>
                <w:bCs/>
              </w:rPr>
              <w:t xml:space="preserve"> &amp; Explanatory Notes</w:t>
            </w:r>
          </w:p>
        </w:tc>
      </w:tr>
      <w:tr w:rsidR="00EE7F87" w14:paraId="32AE9809" w14:textId="77777777" w:rsidTr="00EE7F87">
        <w:tc>
          <w:tcPr>
            <w:tcW w:w="1314" w:type="dxa"/>
            <w:tcBorders>
              <w:top w:val="single" w:sz="4" w:space="0" w:color="auto"/>
            </w:tcBorders>
          </w:tcPr>
          <w:p w14:paraId="4D1A7B5F" w14:textId="52AF4898" w:rsidR="00EE7F87" w:rsidRDefault="00EE7F87" w:rsidP="00EE7F87">
            <w:r>
              <w:t>1</w:t>
            </w:r>
            <w:r>
              <w:t xml:space="preserve"> (5)</w:t>
            </w:r>
          </w:p>
        </w:tc>
        <w:tc>
          <w:tcPr>
            <w:tcW w:w="1682" w:type="dxa"/>
            <w:tcBorders>
              <w:top w:val="single" w:sz="4" w:space="0" w:color="auto"/>
              <w:left w:val="nil"/>
              <w:bottom w:val="single" w:sz="4" w:space="0" w:color="auto"/>
              <w:right w:val="single" w:sz="4" w:space="0" w:color="auto"/>
            </w:tcBorders>
            <w:shd w:val="clear" w:color="auto" w:fill="auto"/>
            <w:vAlign w:val="bottom"/>
          </w:tcPr>
          <w:p w14:paraId="0BFBD131" w14:textId="69F10F4A" w:rsidR="00EE7F87" w:rsidRPr="00EE7F87" w:rsidRDefault="00EE7F87" w:rsidP="00EE7F87">
            <w:pPr>
              <w:rPr>
                <w:rFonts w:cstheme="minorHAnsi"/>
              </w:rPr>
            </w:pPr>
            <w:r w:rsidRPr="00EE7F87">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6950AEF" w14:textId="16606E8A" w:rsidR="00EE7F87" w:rsidRPr="00EE7F87" w:rsidRDefault="00EE7F87" w:rsidP="00EE7F87">
            <w:pPr>
              <w:rPr>
                <w:rFonts w:cstheme="minorHAnsi"/>
              </w:rPr>
            </w:pPr>
            <w:r w:rsidRPr="00EE7F87">
              <w:rPr>
                <w:rFonts w:cstheme="minorHAnsi"/>
                <w:color w:val="000000"/>
              </w:rPr>
              <w:t>8.27%</w:t>
            </w:r>
            <w:r>
              <w:rPr>
                <w:rFonts w:cstheme="minorHAnsi"/>
                <w:color w:val="000000"/>
              </w:rPr>
              <w:t xml:space="preserve"> (18.6%)</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ED14D44" w14:textId="7468306E" w:rsidR="00EE7F87" w:rsidRPr="00EE7F87" w:rsidRDefault="00EE7F87" w:rsidP="00EE7F87">
            <w:pPr>
              <w:rPr>
                <w:rFonts w:cstheme="minorHAnsi"/>
              </w:rPr>
            </w:pPr>
            <w:r w:rsidRPr="00EE7F87">
              <w:rPr>
                <w:rFonts w:cstheme="minorHAnsi"/>
                <w:color w:val="000000"/>
              </w:rPr>
              <w:t>1.207</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2E8DE665" w14:textId="651B6A0F" w:rsidR="00EE7F87" w:rsidRPr="00EE7F87" w:rsidRDefault="00EE7F87" w:rsidP="00EE7F87">
            <w:pPr>
              <w:rPr>
                <w:rFonts w:cstheme="minorHAnsi"/>
              </w:rPr>
            </w:pPr>
            <w:r w:rsidRPr="00EE7F87">
              <w:rPr>
                <w:rFonts w:cstheme="minorHAnsi"/>
                <w:color w:val="000000"/>
              </w:rPr>
              <w:t>14.6</w:t>
            </w:r>
          </w:p>
        </w:tc>
        <w:tc>
          <w:tcPr>
            <w:tcW w:w="1007" w:type="dxa"/>
            <w:vMerge w:val="restart"/>
            <w:tcBorders>
              <w:top w:val="single" w:sz="4" w:space="0" w:color="auto"/>
              <w:left w:val="single" w:sz="4" w:space="0" w:color="auto"/>
              <w:bottom w:val="single" w:sz="4" w:space="0" w:color="auto"/>
              <w:right w:val="single" w:sz="4" w:space="0" w:color="auto"/>
            </w:tcBorders>
          </w:tcPr>
          <w:p w14:paraId="14CC8F7B" w14:textId="77777777" w:rsidR="00EE7F87" w:rsidRPr="00EE7F87" w:rsidRDefault="00EE7F87" w:rsidP="00EE7F87">
            <w:pPr>
              <w:rPr>
                <w:rFonts w:cstheme="minorHAnsi"/>
              </w:rPr>
            </w:pPr>
            <w:r w:rsidRPr="00EE7F87">
              <w:rPr>
                <w:rFonts w:cstheme="minorHAnsi"/>
              </w:rPr>
              <w:t>Lowest to Highest</w:t>
            </w:r>
          </w:p>
        </w:tc>
        <w:tc>
          <w:tcPr>
            <w:tcW w:w="1559" w:type="dxa"/>
            <w:tcBorders>
              <w:top w:val="single" w:sz="4" w:space="0" w:color="auto"/>
              <w:left w:val="single" w:sz="4" w:space="0" w:color="auto"/>
              <w:bottom w:val="single" w:sz="4" w:space="0" w:color="auto"/>
              <w:right w:val="single" w:sz="4" w:space="0" w:color="auto"/>
            </w:tcBorders>
          </w:tcPr>
          <w:p w14:paraId="06A90C8C" w14:textId="14C9FAE2" w:rsidR="00EE7F87" w:rsidRPr="00EE7F87" w:rsidRDefault="00EE7F87" w:rsidP="00EE7F87">
            <w:pPr>
              <w:rPr>
                <w:rFonts w:cstheme="minorHAnsi"/>
              </w:rPr>
            </w:pPr>
            <w:r w:rsidRPr="00EE7F87">
              <w:rPr>
                <w:rFonts w:cstheme="minorHAnsi"/>
              </w:rPr>
              <w:t>8</w:t>
            </w:r>
            <w:r>
              <w:rPr>
                <w:rFonts w:cstheme="minorHAnsi"/>
              </w:rPr>
              <w:t xml:space="preserve"> (8)</w:t>
            </w:r>
          </w:p>
        </w:tc>
        <w:tc>
          <w:tcPr>
            <w:tcW w:w="1134" w:type="dxa"/>
            <w:tcBorders>
              <w:top w:val="single" w:sz="4" w:space="0" w:color="auto"/>
              <w:left w:val="single" w:sz="4" w:space="0" w:color="auto"/>
              <w:bottom w:val="single" w:sz="4" w:space="0" w:color="auto"/>
              <w:right w:val="nil"/>
            </w:tcBorders>
            <w:shd w:val="clear" w:color="auto" w:fill="auto"/>
            <w:vAlign w:val="bottom"/>
          </w:tcPr>
          <w:p w14:paraId="1E530671" w14:textId="6572CF54" w:rsidR="00EE7F87" w:rsidRPr="00EE7F87" w:rsidRDefault="00EE7F87" w:rsidP="00EE7F87">
            <w:pPr>
              <w:rPr>
                <w:rFonts w:cstheme="minorHAnsi"/>
              </w:rPr>
            </w:pPr>
            <w:r w:rsidRPr="00EE7F87">
              <w:rPr>
                <w:rFonts w:cstheme="minorHAnsi"/>
                <w:color w:val="000000"/>
              </w:rPr>
              <w:t>42</w:t>
            </w:r>
          </w:p>
        </w:tc>
        <w:tc>
          <w:tcPr>
            <w:tcW w:w="3104" w:type="dxa"/>
            <w:vMerge w:val="restart"/>
            <w:tcBorders>
              <w:top w:val="single" w:sz="4" w:space="0" w:color="auto"/>
            </w:tcBorders>
          </w:tcPr>
          <w:p w14:paraId="722ADDA3" w14:textId="2B43C062" w:rsidR="00EE7F87" w:rsidRDefault="00EE7F87" w:rsidP="00EE7F87">
            <w:r w:rsidRPr="00567F8E">
              <w:t xml:space="preserve">The median for district councils in England was </w:t>
            </w:r>
            <w:r>
              <w:t>33.82</w:t>
            </w:r>
            <w:r w:rsidRPr="00567F8E">
              <w:t xml:space="preserve">%. The median for districts in Lincolnshire was </w:t>
            </w:r>
            <w:r>
              <w:t>28.94</w:t>
            </w:r>
            <w:r w:rsidRPr="00567F8E">
              <w:t xml:space="preserve">%. The median for authorities in the East Midlands was </w:t>
            </w:r>
            <w:r>
              <w:t>28.94</w:t>
            </w:r>
            <w:r w:rsidRPr="00567F8E">
              <w:t>%.</w:t>
            </w:r>
            <w:r>
              <w:t xml:space="preserve"> </w:t>
            </w:r>
            <w:r w:rsidRPr="00996D43">
              <w:t xml:space="preserve">The median for SKDC’s CIPFA Peers was </w:t>
            </w:r>
            <w:r>
              <w:t>36.42</w:t>
            </w:r>
            <w:r w:rsidRPr="00996D43">
              <w:t>%.</w:t>
            </w:r>
          </w:p>
        </w:tc>
        <w:tc>
          <w:tcPr>
            <w:tcW w:w="4908" w:type="dxa"/>
            <w:vMerge w:val="restart"/>
            <w:tcBorders>
              <w:top w:val="single" w:sz="4" w:space="0" w:color="auto"/>
            </w:tcBorders>
          </w:tcPr>
          <w:p w14:paraId="7185A615" w14:textId="77777777" w:rsidR="00EE7F87" w:rsidRDefault="00EE7F87" w:rsidP="00EE7F87">
            <w:pPr>
              <w:rPr>
                <w:i/>
                <w:iCs/>
              </w:rPr>
            </w:pPr>
            <w:r w:rsidRPr="00EA6955">
              <w:rPr>
                <w:i/>
                <w:iCs/>
              </w:rPr>
              <w:t>DLUHC</w:t>
            </w:r>
            <w:r>
              <w:rPr>
                <w:i/>
                <w:iCs/>
              </w:rPr>
              <w:t>:</w:t>
            </w:r>
            <w:r w:rsidRPr="00EA6955">
              <w:rPr>
                <w:i/>
                <w:iCs/>
              </w:rPr>
              <w:t xml:space="preserve"> Local authority revenue expenditure and financing England: 2021 to 2022 individual local authority data – </w:t>
            </w:r>
            <w:r>
              <w:rPr>
                <w:i/>
                <w:iCs/>
              </w:rPr>
              <w:t>Revenue outturn summary (RS)</w:t>
            </w:r>
          </w:p>
          <w:p w14:paraId="2F4154D0" w14:textId="77777777" w:rsidR="00EE7F87" w:rsidRDefault="00EE7F87" w:rsidP="00EE7F87">
            <w:pPr>
              <w:rPr>
                <w:i/>
                <w:iCs/>
              </w:rPr>
            </w:pPr>
          </w:p>
          <w:p w14:paraId="785F79AA" w14:textId="77777777" w:rsidR="00EE7F87" w:rsidRPr="00600AFC" w:rsidRDefault="00EE7F87" w:rsidP="00EE7F87">
            <w:r w:rsidRPr="00600AFC">
              <w:t xml:space="preserve">Debt Servicing Costs calculation is </w:t>
            </w:r>
            <w:r>
              <w:t xml:space="preserve">the </w:t>
            </w:r>
            <w:r w:rsidRPr="00600AFC">
              <w:t>sum of Spending Lines:773(MRP),776(leasing),781(interest payments), 788 (PFI). HRA item 8 payments are excluded.</w:t>
            </w:r>
          </w:p>
          <w:p w14:paraId="01CB6141" w14:textId="77777777" w:rsidR="00EE7F87" w:rsidRPr="00600AFC" w:rsidRDefault="00EE7F87" w:rsidP="00EE7F87">
            <w:pPr>
              <w:jc w:val="both"/>
            </w:pPr>
          </w:p>
          <w:p w14:paraId="725E9CB4" w14:textId="77777777" w:rsidR="00EE7F87" w:rsidRPr="002F2DAC" w:rsidRDefault="00EE7F87" w:rsidP="00EE7F87">
            <w:r w:rsidRPr="00EA6955">
              <w:rPr>
                <w:i/>
                <w:iCs/>
              </w:rPr>
              <w:t xml:space="preserve">Core spending power: final local government finance settlement 2023 to 2024 </w:t>
            </w:r>
          </w:p>
        </w:tc>
      </w:tr>
      <w:tr w:rsidR="00EE7F87" w14:paraId="1378E1CA" w14:textId="77777777" w:rsidTr="00EE7F87">
        <w:tc>
          <w:tcPr>
            <w:tcW w:w="1314" w:type="dxa"/>
          </w:tcPr>
          <w:p w14:paraId="6F0B5860" w14:textId="334ED8D2" w:rsidR="00EE7F87" w:rsidRDefault="00EE7F87" w:rsidP="00EE7F87">
            <w:r>
              <w:t>2</w:t>
            </w:r>
            <w:r>
              <w:t xml:space="preserve"> (7)</w:t>
            </w:r>
          </w:p>
        </w:tc>
        <w:tc>
          <w:tcPr>
            <w:tcW w:w="1682" w:type="dxa"/>
            <w:tcBorders>
              <w:top w:val="single" w:sz="4" w:space="0" w:color="auto"/>
              <w:left w:val="nil"/>
              <w:bottom w:val="single" w:sz="4" w:space="0" w:color="auto"/>
              <w:right w:val="single" w:sz="4" w:space="0" w:color="auto"/>
            </w:tcBorders>
            <w:shd w:val="clear" w:color="auto" w:fill="auto"/>
            <w:vAlign w:val="bottom"/>
          </w:tcPr>
          <w:p w14:paraId="214A432D" w14:textId="5FE46A77" w:rsidR="00EE7F87" w:rsidRPr="00EE7F87" w:rsidRDefault="00EE7F87" w:rsidP="00EE7F87">
            <w:pPr>
              <w:rPr>
                <w:rFonts w:cstheme="minorHAnsi"/>
              </w:rPr>
            </w:pPr>
            <w:r w:rsidRPr="00EE7F87">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8FFE931" w14:textId="4146FE21" w:rsidR="00EE7F87" w:rsidRPr="00EE7F87" w:rsidRDefault="00EE7F87" w:rsidP="00EE7F87">
            <w:pPr>
              <w:rPr>
                <w:rFonts w:cstheme="minorHAnsi"/>
              </w:rPr>
            </w:pPr>
            <w:r w:rsidRPr="00EE7F87">
              <w:rPr>
                <w:rFonts w:cstheme="minorHAnsi"/>
                <w:color w:val="000000"/>
              </w:rPr>
              <w:t>13.08%</w:t>
            </w:r>
            <w:r>
              <w:rPr>
                <w:rFonts w:cstheme="minorHAnsi"/>
                <w:color w:val="000000"/>
              </w:rPr>
              <w:t xml:space="preserve"> (45.1%)</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CA1E074" w14:textId="5C16DDC7" w:rsidR="00EE7F87" w:rsidRPr="00EE7F87" w:rsidRDefault="00EE7F87" w:rsidP="00EE7F87">
            <w:pPr>
              <w:rPr>
                <w:rFonts w:cstheme="minorHAnsi"/>
              </w:rPr>
            </w:pPr>
            <w:r w:rsidRPr="00EE7F87">
              <w:rPr>
                <w:rFonts w:cstheme="minorHAnsi"/>
                <w:color w:val="000000"/>
              </w:rPr>
              <w:t>1.648</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92CB24E" w14:textId="67C0AC12" w:rsidR="00EE7F87" w:rsidRPr="00EE7F87" w:rsidRDefault="00EE7F87" w:rsidP="00EE7F87">
            <w:pPr>
              <w:rPr>
                <w:rFonts w:cstheme="minorHAnsi"/>
              </w:rPr>
            </w:pPr>
            <w:r w:rsidRPr="00EE7F87">
              <w:rPr>
                <w:rFonts w:cstheme="minorHAnsi"/>
                <w:color w:val="000000"/>
              </w:rPr>
              <w:t>12.6</w:t>
            </w:r>
          </w:p>
        </w:tc>
        <w:tc>
          <w:tcPr>
            <w:tcW w:w="1007" w:type="dxa"/>
            <w:vMerge/>
            <w:tcBorders>
              <w:top w:val="single" w:sz="4" w:space="0" w:color="auto"/>
              <w:left w:val="single" w:sz="4" w:space="0" w:color="auto"/>
              <w:bottom w:val="single" w:sz="4" w:space="0" w:color="auto"/>
              <w:right w:val="single" w:sz="4" w:space="0" w:color="auto"/>
            </w:tcBorders>
          </w:tcPr>
          <w:p w14:paraId="42C15751"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0E3F975E" w14:textId="1B7256D1" w:rsidR="00EE7F87" w:rsidRPr="00EE7F87" w:rsidRDefault="00EE7F87" w:rsidP="00EE7F87">
            <w:pPr>
              <w:rPr>
                <w:rFonts w:cstheme="minorHAnsi"/>
              </w:rPr>
            </w:pPr>
            <w:r w:rsidRPr="00EE7F87">
              <w:rPr>
                <w:rFonts w:cstheme="minorHAnsi"/>
              </w:rPr>
              <w:t>7</w:t>
            </w:r>
            <w:r>
              <w:rPr>
                <w:rFonts w:cstheme="minorHAnsi"/>
              </w:rPr>
              <w:t xml:space="preserve"> (2)</w:t>
            </w:r>
          </w:p>
        </w:tc>
        <w:tc>
          <w:tcPr>
            <w:tcW w:w="1134" w:type="dxa"/>
            <w:tcBorders>
              <w:top w:val="single" w:sz="4" w:space="0" w:color="auto"/>
              <w:left w:val="single" w:sz="4" w:space="0" w:color="auto"/>
              <w:bottom w:val="single" w:sz="4" w:space="0" w:color="auto"/>
              <w:right w:val="nil"/>
            </w:tcBorders>
            <w:shd w:val="clear" w:color="auto" w:fill="auto"/>
            <w:vAlign w:val="bottom"/>
          </w:tcPr>
          <w:p w14:paraId="389EBBED" w14:textId="0088B352" w:rsidR="00EE7F87" w:rsidRPr="00EE7F87" w:rsidRDefault="00EE7F87" w:rsidP="00EE7F87">
            <w:pPr>
              <w:rPr>
                <w:rFonts w:cstheme="minorHAnsi"/>
              </w:rPr>
            </w:pPr>
            <w:r w:rsidRPr="00EE7F87">
              <w:rPr>
                <w:rFonts w:cstheme="minorHAnsi"/>
                <w:color w:val="000000"/>
              </w:rPr>
              <w:t>58</w:t>
            </w:r>
          </w:p>
        </w:tc>
        <w:tc>
          <w:tcPr>
            <w:tcW w:w="3104" w:type="dxa"/>
            <w:vMerge/>
          </w:tcPr>
          <w:p w14:paraId="3C9C5794" w14:textId="77777777" w:rsidR="00EE7F87" w:rsidRDefault="00EE7F87" w:rsidP="00EE7F87"/>
        </w:tc>
        <w:tc>
          <w:tcPr>
            <w:tcW w:w="4908" w:type="dxa"/>
            <w:vMerge/>
          </w:tcPr>
          <w:p w14:paraId="54D8927E" w14:textId="77777777" w:rsidR="00EE7F87" w:rsidRDefault="00EE7F87" w:rsidP="00EE7F87"/>
        </w:tc>
      </w:tr>
      <w:tr w:rsidR="00EE7F87" w14:paraId="14D7A957" w14:textId="77777777" w:rsidTr="00EE7F87">
        <w:tc>
          <w:tcPr>
            <w:tcW w:w="1314" w:type="dxa"/>
          </w:tcPr>
          <w:p w14:paraId="1F7AB915" w14:textId="3696B49A" w:rsidR="00EE7F87" w:rsidRDefault="00EE7F87" w:rsidP="00EE7F87">
            <w:r>
              <w:t>3</w:t>
            </w:r>
            <w:r>
              <w:t xml:space="preserve"> (3)</w:t>
            </w:r>
          </w:p>
        </w:tc>
        <w:tc>
          <w:tcPr>
            <w:tcW w:w="1682" w:type="dxa"/>
            <w:tcBorders>
              <w:top w:val="single" w:sz="4" w:space="0" w:color="auto"/>
              <w:left w:val="nil"/>
              <w:bottom w:val="single" w:sz="4" w:space="0" w:color="auto"/>
              <w:right w:val="single" w:sz="4" w:space="0" w:color="auto"/>
            </w:tcBorders>
            <w:shd w:val="clear" w:color="auto" w:fill="auto"/>
            <w:vAlign w:val="bottom"/>
          </w:tcPr>
          <w:p w14:paraId="421B2508" w14:textId="58D5363D" w:rsidR="00EE7F87" w:rsidRPr="00EE7F87" w:rsidRDefault="00EE7F87" w:rsidP="00EE7F87">
            <w:pPr>
              <w:rPr>
                <w:rFonts w:cstheme="minorHAnsi"/>
              </w:rPr>
            </w:pPr>
            <w:r w:rsidRPr="00EE7F87">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6688BE9" w14:textId="0B014CAB" w:rsidR="00EE7F87" w:rsidRPr="00EE7F87" w:rsidRDefault="00EE7F87" w:rsidP="00EE7F87">
            <w:pPr>
              <w:rPr>
                <w:rFonts w:cstheme="minorHAnsi"/>
              </w:rPr>
            </w:pPr>
            <w:r w:rsidRPr="00EE7F87">
              <w:rPr>
                <w:rFonts w:cstheme="minorHAnsi"/>
                <w:color w:val="000000"/>
              </w:rPr>
              <w:t>19.08%</w:t>
            </w:r>
            <w:r>
              <w:rPr>
                <w:rFonts w:cstheme="minorHAnsi"/>
                <w:color w:val="000000"/>
              </w:rPr>
              <w:t xml:space="preserve"> (7.4%)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3CC219E" w14:textId="7446F1D5" w:rsidR="00EE7F87" w:rsidRPr="00EE7F87" w:rsidRDefault="00EE7F87" w:rsidP="00EE7F87">
            <w:pPr>
              <w:rPr>
                <w:rFonts w:cstheme="minorHAnsi"/>
              </w:rPr>
            </w:pPr>
            <w:r w:rsidRPr="00EE7F87">
              <w:rPr>
                <w:rFonts w:cstheme="minorHAnsi"/>
                <w:color w:val="000000"/>
              </w:rPr>
              <w:t>2.328</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1932782D" w14:textId="65961A95" w:rsidR="00EE7F87" w:rsidRPr="00EE7F87" w:rsidRDefault="00EE7F87" w:rsidP="00EE7F87">
            <w:pPr>
              <w:rPr>
                <w:rFonts w:cstheme="minorHAnsi"/>
              </w:rPr>
            </w:pPr>
            <w:r w:rsidRPr="00EE7F87">
              <w:rPr>
                <w:rFonts w:cstheme="minorHAnsi"/>
                <w:color w:val="000000"/>
              </w:rPr>
              <w:t>12.2</w:t>
            </w:r>
          </w:p>
        </w:tc>
        <w:tc>
          <w:tcPr>
            <w:tcW w:w="1007" w:type="dxa"/>
            <w:vMerge/>
            <w:tcBorders>
              <w:top w:val="single" w:sz="4" w:space="0" w:color="auto"/>
              <w:left w:val="single" w:sz="4" w:space="0" w:color="auto"/>
              <w:bottom w:val="single" w:sz="4" w:space="0" w:color="auto"/>
              <w:right w:val="single" w:sz="4" w:space="0" w:color="auto"/>
            </w:tcBorders>
          </w:tcPr>
          <w:p w14:paraId="40391EA7"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6A59D15F" w14:textId="3F099050" w:rsidR="00EE7F87" w:rsidRPr="00EE7F87" w:rsidRDefault="00EE7F87" w:rsidP="00EE7F87">
            <w:pPr>
              <w:rPr>
                <w:rFonts w:cstheme="minorHAnsi"/>
              </w:rPr>
            </w:pPr>
            <w:r w:rsidRPr="00EE7F87">
              <w:rPr>
                <w:rFonts w:cstheme="minorHAnsi"/>
              </w:rPr>
              <w:t>7</w:t>
            </w:r>
            <w:r>
              <w:rPr>
                <w:rFonts w:cstheme="minorHAnsi"/>
              </w:rPr>
              <w:t xml:space="preserve"> (6)</w:t>
            </w:r>
          </w:p>
        </w:tc>
        <w:tc>
          <w:tcPr>
            <w:tcW w:w="1134" w:type="dxa"/>
            <w:tcBorders>
              <w:top w:val="single" w:sz="4" w:space="0" w:color="auto"/>
              <w:left w:val="single" w:sz="4" w:space="0" w:color="auto"/>
              <w:bottom w:val="single" w:sz="4" w:space="0" w:color="auto"/>
              <w:right w:val="nil"/>
            </w:tcBorders>
            <w:shd w:val="clear" w:color="auto" w:fill="auto"/>
            <w:vAlign w:val="bottom"/>
          </w:tcPr>
          <w:p w14:paraId="12C20826" w14:textId="1753F030" w:rsidR="00EE7F87" w:rsidRPr="00EE7F87" w:rsidRDefault="00EE7F87" w:rsidP="00EE7F87">
            <w:pPr>
              <w:rPr>
                <w:rFonts w:cstheme="minorHAnsi"/>
              </w:rPr>
            </w:pPr>
            <w:r w:rsidRPr="00EE7F87">
              <w:rPr>
                <w:rFonts w:cstheme="minorHAnsi"/>
                <w:color w:val="000000"/>
              </w:rPr>
              <w:t>67</w:t>
            </w:r>
          </w:p>
        </w:tc>
        <w:tc>
          <w:tcPr>
            <w:tcW w:w="3104" w:type="dxa"/>
            <w:vMerge/>
          </w:tcPr>
          <w:p w14:paraId="38BF5D17" w14:textId="77777777" w:rsidR="00EE7F87" w:rsidRDefault="00EE7F87" w:rsidP="00EE7F87"/>
        </w:tc>
        <w:tc>
          <w:tcPr>
            <w:tcW w:w="4908" w:type="dxa"/>
            <w:vMerge/>
          </w:tcPr>
          <w:p w14:paraId="2063198B" w14:textId="77777777" w:rsidR="00EE7F87" w:rsidRDefault="00EE7F87" w:rsidP="00EE7F87"/>
        </w:tc>
      </w:tr>
      <w:tr w:rsidR="00EE7F87" w14:paraId="0A7BC49D" w14:textId="77777777" w:rsidTr="00EE7F87">
        <w:tc>
          <w:tcPr>
            <w:tcW w:w="1314" w:type="dxa"/>
          </w:tcPr>
          <w:p w14:paraId="308818CB" w14:textId="46107E62" w:rsidR="00EE7F87" w:rsidRDefault="00EE7F87" w:rsidP="00EE7F87">
            <w:r>
              <w:t>4</w:t>
            </w:r>
            <w:r>
              <w:t xml:space="preserve"> (1)</w:t>
            </w:r>
          </w:p>
        </w:tc>
        <w:tc>
          <w:tcPr>
            <w:tcW w:w="1682" w:type="dxa"/>
            <w:tcBorders>
              <w:top w:val="single" w:sz="4" w:space="0" w:color="auto"/>
              <w:left w:val="nil"/>
              <w:bottom w:val="single" w:sz="4" w:space="0" w:color="auto"/>
              <w:right w:val="single" w:sz="4" w:space="0" w:color="auto"/>
            </w:tcBorders>
            <w:shd w:val="clear" w:color="auto" w:fill="auto"/>
            <w:vAlign w:val="bottom"/>
          </w:tcPr>
          <w:p w14:paraId="702BE156" w14:textId="068EA84B" w:rsidR="00EE7F87" w:rsidRPr="00EE7F87" w:rsidRDefault="00EE7F87" w:rsidP="00EE7F87">
            <w:pPr>
              <w:rPr>
                <w:rFonts w:cstheme="minorHAnsi"/>
              </w:rPr>
            </w:pPr>
            <w:r w:rsidRPr="00EE7F87">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E7085EB" w14:textId="2A8E4E49" w:rsidR="00EE7F87" w:rsidRPr="00EE7F87" w:rsidRDefault="00EE7F87" w:rsidP="00EE7F87">
            <w:pPr>
              <w:rPr>
                <w:rFonts w:cstheme="minorHAnsi"/>
              </w:rPr>
            </w:pPr>
            <w:r w:rsidRPr="00EE7F87">
              <w:rPr>
                <w:rFonts w:cstheme="minorHAnsi"/>
                <w:color w:val="000000"/>
              </w:rPr>
              <w:t>28.94%</w:t>
            </w:r>
            <w:r>
              <w:rPr>
                <w:rFonts w:cstheme="minorHAnsi"/>
                <w:color w:val="000000"/>
              </w:rPr>
              <w:t xml:space="preserve"> (3%)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DCE74F2" w14:textId="60B870B6" w:rsidR="00EE7F87" w:rsidRPr="00EE7F87" w:rsidRDefault="00EE7F87" w:rsidP="00EE7F87">
            <w:pPr>
              <w:rPr>
                <w:rFonts w:cstheme="minorHAnsi"/>
              </w:rPr>
            </w:pPr>
            <w:r w:rsidRPr="00EE7F87">
              <w:rPr>
                <w:rFonts w:cstheme="minorHAnsi"/>
                <w:color w:val="000000"/>
              </w:rPr>
              <w:t>5.152</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146922F6" w14:textId="4A86C37C" w:rsidR="00EE7F87" w:rsidRPr="00EE7F87" w:rsidRDefault="00EE7F87" w:rsidP="00EE7F87">
            <w:pPr>
              <w:rPr>
                <w:rFonts w:cstheme="minorHAnsi"/>
              </w:rPr>
            </w:pPr>
            <w:r w:rsidRPr="00EE7F87">
              <w:rPr>
                <w:rFonts w:cstheme="minorHAnsi"/>
                <w:color w:val="000000"/>
              </w:rPr>
              <w:t>17.8</w:t>
            </w:r>
          </w:p>
        </w:tc>
        <w:tc>
          <w:tcPr>
            <w:tcW w:w="1007" w:type="dxa"/>
            <w:vMerge/>
            <w:tcBorders>
              <w:top w:val="single" w:sz="4" w:space="0" w:color="auto"/>
              <w:left w:val="single" w:sz="4" w:space="0" w:color="auto"/>
              <w:bottom w:val="single" w:sz="4" w:space="0" w:color="auto"/>
              <w:right w:val="single" w:sz="4" w:space="0" w:color="auto"/>
            </w:tcBorders>
          </w:tcPr>
          <w:p w14:paraId="206EEFF1"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5AF7A958" w14:textId="32D2F88D" w:rsidR="00EE7F87" w:rsidRPr="00EE7F87" w:rsidRDefault="00EE7F87" w:rsidP="00EE7F87">
            <w:pPr>
              <w:rPr>
                <w:rFonts w:cstheme="minorHAnsi"/>
              </w:rPr>
            </w:pPr>
            <w:r w:rsidRPr="00EE7F87">
              <w:rPr>
                <w:rFonts w:cstheme="minorHAnsi"/>
              </w:rPr>
              <w:t>6</w:t>
            </w:r>
            <w:r>
              <w:rPr>
                <w:rFonts w:cstheme="minorHAnsi"/>
              </w:rPr>
              <w:t xml:space="preserve"> (8)</w:t>
            </w:r>
          </w:p>
        </w:tc>
        <w:tc>
          <w:tcPr>
            <w:tcW w:w="1134" w:type="dxa"/>
            <w:tcBorders>
              <w:top w:val="single" w:sz="4" w:space="0" w:color="auto"/>
              <w:left w:val="single" w:sz="4" w:space="0" w:color="auto"/>
              <w:bottom w:val="single" w:sz="4" w:space="0" w:color="auto"/>
              <w:right w:val="nil"/>
            </w:tcBorders>
            <w:shd w:val="clear" w:color="auto" w:fill="auto"/>
            <w:vAlign w:val="bottom"/>
          </w:tcPr>
          <w:p w14:paraId="6A288908" w14:textId="0A32190A" w:rsidR="00EE7F87" w:rsidRPr="00EE7F87" w:rsidRDefault="00EE7F87" w:rsidP="00EE7F87">
            <w:pPr>
              <w:rPr>
                <w:rFonts w:cstheme="minorHAnsi"/>
              </w:rPr>
            </w:pPr>
            <w:r w:rsidRPr="00EE7F87">
              <w:rPr>
                <w:rFonts w:cstheme="minorHAnsi"/>
                <w:color w:val="000000"/>
              </w:rPr>
              <w:t>84</w:t>
            </w:r>
          </w:p>
        </w:tc>
        <w:tc>
          <w:tcPr>
            <w:tcW w:w="3104" w:type="dxa"/>
            <w:vMerge/>
          </w:tcPr>
          <w:p w14:paraId="301DDF9C" w14:textId="77777777" w:rsidR="00EE7F87" w:rsidRDefault="00EE7F87" w:rsidP="00EE7F87"/>
        </w:tc>
        <w:tc>
          <w:tcPr>
            <w:tcW w:w="4908" w:type="dxa"/>
            <w:vMerge/>
          </w:tcPr>
          <w:p w14:paraId="05182623" w14:textId="77777777" w:rsidR="00EE7F87" w:rsidRDefault="00EE7F87" w:rsidP="00EE7F87"/>
        </w:tc>
      </w:tr>
      <w:tr w:rsidR="00EE7F87" w14:paraId="24FA994E" w14:textId="77777777" w:rsidTr="00EE7F87">
        <w:tc>
          <w:tcPr>
            <w:tcW w:w="1314" w:type="dxa"/>
          </w:tcPr>
          <w:p w14:paraId="493281D8" w14:textId="7F7256D0" w:rsidR="00EE7F87" w:rsidRDefault="00EE7F87" w:rsidP="00EE7F87">
            <w:r>
              <w:t>5</w:t>
            </w:r>
            <w:r>
              <w:t xml:space="preserve"> (6)</w:t>
            </w:r>
          </w:p>
        </w:tc>
        <w:tc>
          <w:tcPr>
            <w:tcW w:w="1682" w:type="dxa"/>
            <w:tcBorders>
              <w:top w:val="single" w:sz="4" w:space="0" w:color="auto"/>
              <w:left w:val="nil"/>
              <w:bottom w:val="single" w:sz="4" w:space="0" w:color="auto"/>
              <w:right w:val="single" w:sz="4" w:space="0" w:color="auto"/>
            </w:tcBorders>
            <w:shd w:val="clear" w:color="auto" w:fill="auto"/>
            <w:vAlign w:val="bottom"/>
          </w:tcPr>
          <w:p w14:paraId="31AC07E6" w14:textId="29DAE877" w:rsidR="00EE7F87" w:rsidRPr="00EE7F87" w:rsidRDefault="00EE7F87" w:rsidP="00EE7F87">
            <w:pPr>
              <w:rPr>
                <w:rFonts w:cstheme="minorHAnsi"/>
              </w:rPr>
            </w:pPr>
            <w:r w:rsidRPr="00EE7F87">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FB7C086" w14:textId="515B268E" w:rsidR="00EE7F87" w:rsidRPr="00EE7F87" w:rsidRDefault="00EE7F87" w:rsidP="00EE7F87">
            <w:pPr>
              <w:rPr>
                <w:rFonts w:cstheme="minorHAnsi"/>
              </w:rPr>
            </w:pPr>
            <w:r w:rsidRPr="00EE7F87">
              <w:rPr>
                <w:rFonts w:cstheme="minorHAnsi"/>
                <w:color w:val="000000"/>
              </w:rPr>
              <w:t>39.22%</w:t>
            </w:r>
            <w:r>
              <w:rPr>
                <w:rFonts w:cstheme="minorHAnsi"/>
                <w:color w:val="000000"/>
              </w:rPr>
              <w:t xml:space="preserve"> (22.3%)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7619079" w14:textId="1EC8EB88" w:rsidR="00EE7F87" w:rsidRPr="00EE7F87" w:rsidRDefault="00EE7F87" w:rsidP="00EE7F87">
            <w:pPr>
              <w:rPr>
                <w:rFonts w:cstheme="minorHAnsi"/>
              </w:rPr>
            </w:pPr>
            <w:r w:rsidRPr="00EE7F87">
              <w:rPr>
                <w:rFonts w:cstheme="minorHAnsi"/>
                <w:color w:val="000000"/>
              </w:rPr>
              <w:t>4.55</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34F049D9" w14:textId="2F064177" w:rsidR="00EE7F87" w:rsidRPr="00EE7F87" w:rsidRDefault="00EE7F87" w:rsidP="00EE7F87">
            <w:pPr>
              <w:rPr>
                <w:rFonts w:cstheme="minorHAnsi"/>
              </w:rPr>
            </w:pPr>
            <w:r w:rsidRPr="00EE7F87">
              <w:rPr>
                <w:rFonts w:cstheme="minorHAnsi"/>
                <w:color w:val="000000"/>
              </w:rPr>
              <w:t>11.6</w:t>
            </w:r>
          </w:p>
        </w:tc>
        <w:tc>
          <w:tcPr>
            <w:tcW w:w="1007" w:type="dxa"/>
            <w:vMerge/>
            <w:tcBorders>
              <w:top w:val="single" w:sz="4" w:space="0" w:color="auto"/>
              <w:left w:val="single" w:sz="4" w:space="0" w:color="auto"/>
              <w:bottom w:val="single" w:sz="4" w:space="0" w:color="auto"/>
              <w:right w:val="single" w:sz="4" w:space="0" w:color="auto"/>
            </w:tcBorders>
          </w:tcPr>
          <w:p w14:paraId="014DE626"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2482EAE4" w14:textId="6155D03B" w:rsidR="00EE7F87" w:rsidRPr="00EE7F87" w:rsidRDefault="00EE7F87" w:rsidP="00EE7F87">
            <w:pPr>
              <w:rPr>
                <w:rFonts w:cstheme="minorHAnsi"/>
              </w:rPr>
            </w:pPr>
            <w:r w:rsidRPr="00EE7F87">
              <w:rPr>
                <w:rFonts w:cstheme="minorHAnsi"/>
              </w:rPr>
              <w:t>5</w:t>
            </w:r>
            <w:r>
              <w:rPr>
                <w:rFonts w:cstheme="minorHAnsi"/>
              </w:rPr>
              <w:t xml:space="preserve"> (4)</w:t>
            </w:r>
          </w:p>
        </w:tc>
        <w:tc>
          <w:tcPr>
            <w:tcW w:w="1134" w:type="dxa"/>
            <w:tcBorders>
              <w:top w:val="single" w:sz="4" w:space="0" w:color="auto"/>
              <w:left w:val="single" w:sz="4" w:space="0" w:color="auto"/>
              <w:bottom w:val="single" w:sz="4" w:space="0" w:color="auto"/>
              <w:right w:val="nil"/>
            </w:tcBorders>
            <w:shd w:val="clear" w:color="auto" w:fill="auto"/>
            <w:vAlign w:val="bottom"/>
          </w:tcPr>
          <w:p w14:paraId="4D79F150" w14:textId="3EF74B12" w:rsidR="00EE7F87" w:rsidRPr="00EE7F87" w:rsidRDefault="00EE7F87" w:rsidP="00EE7F87">
            <w:pPr>
              <w:rPr>
                <w:rFonts w:cstheme="minorHAnsi"/>
              </w:rPr>
            </w:pPr>
            <w:r w:rsidRPr="00EE7F87">
              <w:rPr>
                <w:rFonts w:cstheme="minorHAnsi"/>
                <w:color w:val="000000"/>
              </w:rPr>
              <w:t>100</w:t>
            </w:r>
          </w:p>
        </w:tc>
        <w:tc>
          <w:tcPr>
            <w:tcW w:w="3104" w:type="dxa"/>
            <w:vMerge/>
          </w:tcPr>
          <w:p w14:paraId="5A2B7027" w14:textId="77777777" w:rsidR="00EE7F87" w:rsidRDefault="00EE7F87" w:rsidP="00EE7F87"/>
        </w:tc>
        <w:tc>
          <w:tcPr>
            <w:tcW w:w="4908" w:type="dxa"/>
            <w:vMerge/>
          </w:tcPr>
          <w:p w14:paraId="4F7A617B" w14:textId="77777777" w:rsidR="00EE7F87" w:rsidRDefault="00EE7F87" w:rsidP="00EE7F87"/>
        </w:tc>
      </w:tr>
      <w:tr w:rsidR="00EE7F87" w14:paraId="57B7134A" w14:textId="77777777" w:rsidTr="00EE7F87">
        <w:tc>
          <w:tcPr>
            <w:tcW w:w="1314" w:type="dxa"/>
          </w:tcPr>
          <w:p w14:paraId="3CD81536" w14:textId="5235D344" w:rsidR="00EE7F87" w:rsidRDefault="00EE7F87" w:rsidP="00EE7F87">
            <w:r>
              <w:t>6</w:t>
            </w:r>
            <w:r>
              <w:t xml:space="preserve"> (4)</w:t>
            </w:r>
          </w:p>
        </w:tc>
        <w:tc>
          <w:tcPr>
            <w:tcW w:w="1682" w:type="dxa"/>
            <w:tcBorders>
              <w:top w:val="single" w:sz="4" w:space="0" w:color="auto"/>
              <w:left w:val="nil"/>
              <w:bottom w:val="single" w:sz="4" w:space="0" w:color="auto"/>
              <w:right w:val="single" w:sz="4" w:space="0" w:color="auto"/>
            </w:tcBorders>
            <w:shd w:val="clear" w:color="auto" w:fill="auto"/>
            <w:vAlign w:val="bottom"/>
          </w:tcPr>
          <w:p w14:paraId="48B28438" w14:textId="4E14DEF1" w:rsidR="00EE7F87" w:rsidRPr="00EE7F87" w:rsidRDefault="00EE7F87" w:rsidP="00EE7F87">
            <w:pPr>
              <w:rPr>
                <w:rFonts w:cstheme="minorHAnsi"/>
              </w:rPr>
            </w:pPr>
            <w:r w:rsidRPr="00EE7F87">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3873CC0" w14:textId="27F0D113" w:rsidR="00EE7F87" w:rsidRPr="00EE7F87" w:rsidRDefault="00EE7F87" w:rsidP="00EE7F87">
            <w:pPr>
              <w:rPr>
                <w:rFonts w:cstheme="minorHAnsi"/>
              </w:rPr>
            </w:pPr>
            <w:r w:rsidRPr="00EE7F87">
              <w:rPr>
                <w:rFonts w:cstheme="minorHAnsi"/>
                <w:color w:val="000000"/>
              </w:rPr>
              <w:t>186.93%</w:t>
            </w:r>
            <w:r>
              <w:rPr>
                <w:rFonts w:cstheme="minorHAnsi"/>
                <w:color w:val="000000"/>
              </w:rPr>
              <w:t xml:space="preserve"> (10.5%)</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6325482" w14:textId="1D008C16" w:rsidR="00EE7F87" w:rsidRPr="00EE7F87" w:rsidRDefault="00EE7F87" w:rsidP="00EE7F87">
            <w:pPr>
              <w:rPr>
                <w:rFonts w:cstheme="minorHAnsi"/>
              </w:rPr>
            </w:pPr>
            <w:r w:rsidRPr="00EE7F87">
              <w:rPr>
                <w:rFonts w:cstheme="minorHAnsi"/>
                <w:color w:val="000000"/>
              </w:rPr>
              <w:t>22.993</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3E0F95D" w14:textId="1E0A4EC5" w:rsidR="00EE7F87" w:rsidRPr="00EE7F87" w:rsidRDefault="00EE7F87" w:rsidP="00EE7F87">
            <w:pPr>
              <w:rPr>
                <w:rFonts w:cstheme="minorHAnsi"/>
              </w:rPr>
            </w:pPr>
            <w:r w:rsidRPr="00EE7F87">
              <w:rPr>
                <w:rFonts w:cstheme="minorHAnsi"/>
                <w:color w:val="000000"/>
              </w:rPr>
              <w:t>12.3</w:t>
            </w:r>
          </w:p>
        </w:tc>
        <w:tc>
          <w:tcPr>
            <w:tcW w:w="1007" w:type="dxa"/>
            <w:vMerge/>
            <w:tcBorders>
              <w:top w:val="single" w:sz="4" w:space="0" w:color="auto"/>
              <w:left w:val="single" w:sz="4" w:space="0" w:color="auto"/>
              <w:bottom w:val="single" w:sz="4" w:space="0" w:color="auto"/>
              <w:right w:val="single" w:sz="4" w:space="0" w:color="auto"/>
            </w:tcBorders>
          </w:tcPr>
          <w:p w14:paraId="68CB1B42"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52E18ED6" w14:textId="5D25A932" w:rsidR="00EE7F87" w:rsidRPr="00EE7F87" w:rsidRDefault="00EE7F87" w:rsidP="00EE7F87">
            <w:pPr>
              <w:rPr>
                <w:rFonts w:cstheme="minorHAnsi"/>
              </w:rPr>
            </w:pPr>
            <w:r w:rsidRPr="00EE7F87">
              <w:rPr>
                <w:rFonts w:cstheme="minorHAnsi"/>
              </w:rPr>
              <w:t>2</w:t>
            </w:r>
            <w:r>
              <w:rPr>
                <w:rFonts w:cstheme="minorHAnsi"/>
              </w:rPr>
              <w:t xml:space="preserve"> (5)</w:t>
            </w:r>
          </w:p>
        </w:tc>
        <w:tc>
          <w:tcPr>
            <w:tcW w:w="1134" w:type="dxa"/>
            <w:tcBorders>
              <w:top w:val="single" w:sz="4" w:space="0" w:color="auto"/>
              <w:left w:val="single" w:sz="4" w:space="0" w:color="auto"/>
              <w:bottom w:val="single" w:sz="4" w:space="0" w:color="auto"/>
              <w:right w:val="nil"/>
            </w:tcBorders>
            <w:shd w:val="clear" w:color="auto" w:fill="auto"/>
            <w:vAlign w:val="bottom"/>
          </w:tcPr>
          <w:p w14:paraId="32319C1B" w14:textId="3007B6BD" w:rsidR="00EE7F87" w:rsidRPr="00EE7F87" w:rsidRDefault="00EE7F87" w:rsidP="00EE7F87">
            <w:pPr>
              <w:rPr>
                <w:rFonts w:cstheme="minorHAnsi"/>
              </w:rPr>
            </w:pPr>
            <w:r w:rsidRPr="00EE7F87">
              <w:rPr>
                <w:rFonts w:cstheme="minorHAnsi"/>
                <w:color w:val="000000"/>
              </w:rPr>
              <w:t>148</w:t>
            </w:r>
          </w:p>
        </w:tc>
        <w:tc>
          <w:tcPr>
            <w:tcW w:w="3104" w:type="dxa"/>
            <w:vMerge/>
          </w:tcPr>
          <w:p w14:paraId="343E9505" w14:textId="77777777" w:rsidR="00EE7F87" w:rsidRDefault="00EE7F87" w:rsidP="00EE7F87"/>
        </w:tc>
        <w:tc>
          <w:tcPr>
            <w:tcW w:w="4908" w:type="dxa"/>
            <w:vMerge/>
          </w:tcPr>
          <w:p w14:paraId="5FE7B928" w14:textId="77777777" w:rsidR="00EE7F87" w:rsidRDefault="00EE7F87" w:rsidP="00EE7F87"/>
        </w:tc>
      </w:tr>
      <w:tr w:rsidR="00EE7F87" w14:paraId="2085B726" w14:textId="77777777" w:rsidTr="00EE7F87">
        <w:tc>
          <w:tcPr>
            <w:tcW w:w="1314" w:type="dxa"/>
            <w:tcBorders>
              <w:bottom w:val="single" w:sz="4" w:space="0" w:color="auto"/>
            </w:tcBorders>
          </w:tcPr>
          <w:p w14:paraId="256BDCF8" w14:textId="7C1E16F6" w:rsidR="00EE7F87" w:rsidRDefault="00EE7F87" w:rsidP="00EE7F87">
            <w:r>
              <w:t>7</w:t>
            </w:r>
            <w:r>
              <w:t xml:space="preserve"> (2)</w:t>
            </w:r>
          </w:p>
        </w:tc>
        <w:tc>
          <w:tcPr>
            <w:tcW w:w="1682" w:type="dxa"/>
            <w:tcBorders>
              <w:top w:val="single" w:sz="4" w:space="0" w:color="auto"/>
              <w:left w:val="nil"/>
              <w:bottom w:val="single" w:sz="4" w:space="0" w:color="auto"/>
              <w:right w:val="single" w:sz="4" w:space="0" w:color="auto"/>
            </w:tcBorders>
            <w:shd w:val="clear" w:color="auto" w:fill="auto"/>
            <w:vAlign w:val="bottom"/>
          </w:tcPr>
          <w:p w14:paraId="3608DCD4" w14:textId="11B9A8DB" w:rsidR="00EE7F87" w:rsidRPr="00EE7F87" w:rsidRDefault="00EE7F87" w:rsidP="00EE7F87">
            <w:pPr>
              <w:rPr>
                <w:rFonts w:cstheme="minorHAnsi"/>
              </w:rPr>
            </w:pPr>
            <w:r w:rsidRPr="00EE7F87">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D0C767A" w14:textId="05ED3913" w:rsidR="00EE7F87" w:rsidRPr="00EE7F87" w:rsidRDefault="00EE7F87" w:rsidP="00EE7F87">
            <w:pPr>
              <w:rPr>
                <w:rFonts w:cstheme="minorHAnsi"/>
              </w:rPr>
            </w:pPr>
            <w:r w:rsidRPr="00EE7F87">
              <w:rPr>
                <w:rFonts w:cstheme="minorHAnsi"/>
                <w:color w:val="000000"/>
              </w:rPr>
              <w:t>237.91%</w:t>
            </w:r>
            <w:r>
              <w:rPr>
                <w:rFonts w:cstheme="minorHAnsi"/>
                <w:color w:val="000000"/>
              </w:rPr>
              <w:t xml:space="preserve"> (5.7%)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229E869" w14:textId="390AED00" w:rsidR="00EE7F87" w:rsidRPr="00EE7F87" w:rsidRDefault="00EE7F87" w:rsidP="00EE7F87">
            <w:pPr>
              <w:rPr>
                <w:rFonts w:cstheme="minorHAnsi"/>
              </w:rPr>
            </w:pPr>
            <w:r w:rsidRPr="00EE7F87">
              <w:rPr>
                <w:rFonts w:cstheme="minorHAnsi"/>
                <w:color w:val="000000"/>
              </w:rPr>
              <w:t>22.126</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CC5BF91" w14:textId="0C7C9B8F" w:rsidR="00EE7F87" w:rsidRPr="00EE7F87" w:rsidRDefault="00EE7F87" w:rsidP="00EE7F87">
            <w:pPr>
              <w:rPr>
                <w:rFonts w:cstheme="minorHAnsi"/>
              </w:rPr>
            </w:pPr>
            <w:r w:rsidRPr="00EE7F87">
              <w:rPr>
                <w:rFonts w:cstheme="minorHAnsi"/>
                <w:color w:val="000000"/>
              </w:rPr>
              <w:t>9.3</w:t>
            </w:r>
          </w:p>
        </w:tc>
        <w:tc>
          <w:tcPr>
            <w:tcW w:w="1007" w:type="dxa"/>
            <w:vMerge/>
            <w:tcBorders>
              <w:top w:val="single" w:sz="4" w:space="0" w:color="auto"/>
              <w:left w:val="single" w:sz="4" w:space="0" w:color="auto"/>
              <w:bottom w:val="single" w:sz="4" w:space="0" w:color="auto"/>
              <w:right w:val="single" w:sz="4" w:space="0" w:color="auto"/>
            </w:tcBorders>
          </w:tcPr>
          <w:p w14:paraId="1952D2BA" w14:textId="77777777" w:rsidR="00EE7F87" w:rsidRPr="00EE7F87" w:rsidRDefault="00EE7F87" w:rsidP="00EE7F87">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196AF420" w14:textId="06040FA9" w:rsidR="00EE7F87" w:rsidRPr="00EE7F87" w:rsidRDefault="00EE7F87" w:rsidP="00EE7F87">
            <w:pPr>
              <w:rPr>
                <w:rFonts w:cstheme="minorHAnsi"/>
              </w:rPr>
            </w:pPr>
            <w:r w:rsidRPr="00EE7F87">
              <w:rPr>
                <w:rFonts w:cstheme="minorHAnsi"/>
              </w:rPr>
              <w:t>2</w:t>
            </w:r>
            <w:r>
              <w:rPr>
                <w:rFonts w:cstheme="minorHAnsi"/>
              </w:rPr>
              <w:t xml:space="preserve"> (7)</w:t>
            </w:r>
          </w:p>
        </w:tc>
        <w:tc>
          <w:tcPr>
            <w:tcW w:w="1134" w:type="dxa"/>
            <w:tcBorders>
              <w:top w:val="single" w:sz="4" w:space="0" w:color="auto"/>
              <w:left w:val="single" w:sz="4" w:space="0" w:color="auto"/>
              <w:bottom w:val="single" w:sz="4" w:space="0" w:color="auto"/>
              <w:right w:val="nil"/>
            </w:tcBorders>
            <w:shd w:val="clear" w:color="auto" w:fill="auto"/>
            <w:vAlign w:val="bottom"/>
          </w:tcPr>
          <w:p w14:paraId="37243F33" w14:textId="32FA2D81" w:rsidR="00EE7F87" w:rsidRPr="00EE7F87" w:rsidRDefault="00EE7F87" w:rsidP="00EE7F87">
            <w:pPr>
              <w:rPr>
                <w:rFonts w:cstheme="minorHAnsi"/>
              </w:rPr>
            </w:pPr>
            <w:r w:rsidRPr="00EE7F87">
              <w:rPr>
                <w:rFonts w:cstheme="minorHAnsi"/>
                <w:color w:val="000000"/>
              </w:rPr>
              <w:t>160</w:t>
            </w:r>
          </w:p>
        </w:tc>
        <w:tc>
          <w:tcPr>
            <w:tcW w:w="3104" w:type="dxa"/>
            <w:vMerge/>
            <w:tcBorders>
              <w:bottom w:val="single" w:sz="4" w:space="0" w:color="auto"/>
            </w:tcBorders>
          </w:tcPr>
          <w:p w14:paraId="04995DA0" w14:textId="77777777" w:rsidR="00EE7F87" w:rsidRDefault="00EE7F87" w:rsidP="00EE7F87"/>
        </w:tc>
        <w:tc>
          <w:tcPr>
            <w:tcW w:w="4908" w:type="dxa"/>
            <w:vMerge/>
            <w:tcBorders>
              <w:bottom w:val="single" w:sz="4" w:space="0" w:color="auto"/>
            </w:tcBorders>
          </w:tcPr>
          <w:p w14:paraId="0AA96B4A" w14:textId="77777777" w:rsidR="00EE7F87" w:rsidRDefault="00EE7F87" w:rsidP="00EE7F87"/>
        </w:tc>
      </w:tr>
    </w:tbl>
    <w:p w14:paraId="759572AD" w14:textId="77777777" w:rsidR="00111F2A" w:rsidRDefault="00111F2A"/>
    <w:p w14:paraId="0AEC0BF3" w14:textId="77777777" w:rsidR="00211134" w:rsidRDefault="00211134"/>
    <w:p w14:paraId="51055DD4" w14:textId="77777777" w:rsidR="00211134" w:rsidRDefault="00211134"/>
    <w:p w14:paraId="136203F2" w14:textId="77777777" w:rsidR="00211134" w:rsidRDefault="00211134"/>
    <w:p w14:paraId="10EECD2F" w14:textId="77777777" w:rsidR="00211134" w:rsidRDefault="00211134"/>
    <w:p w14:paraId="6EE36528" w14:textId="77777777" w:rsidR="00211134" w:rsidRDefault="00211134"/>
    <w:tbl>
      <w:tblPr>
        <w:tblStyle w:val="TableGrid"/>
        <w:tblW w:w="0" w:type="auto"/>
        <w:tblLook w:val="04A0" w:firstRow="1" w:lastRow="0" w:firstColumn="1" w:lastColumn="0" w:noHBand="0" w:noVBand="1"/>
      </w:tblPr>
      <w:tblGrid>
        <w:gridCol w:w="1314"/>
        <w:gridCol w:w="1682"/>
        <w:gridCol w:w="1133"/>
        <w:gridCol w:w="2689"/>
        <w:gridCol w:w="2391"/>
        <w:gridCol w:w="1007"/>
        <w:gridCol w:w="1559"/>
        <w:gridCol w:w="1134"/>
        <w:gridCol w:w="3104"/>
        <w:gridCol w:w="4908"/>
      </w:tblGrid>
      <w:tr w:rsidR="00211134" w14:paraId="68586BD2" w14:textId="77777777" w:rsidTr="005857FD">
        <w:tc>
          <w:tcPr>
            <w:tcW w:w="20921" w:type="dxa"/>
            <w:gridSpan w:val="10"/>
          </w:tcPr>
          <w:p w14:paraId="2F5844E9" w14:textId="77777777" w:rsidR="00211134" w:rsidRPr="008855E6" w:rsidRDefault="00211134" w:rsidP="005857FD">
            <w:pPr>
              <w:rPr>
                <w:b/>
                <w:bCs/>
              </w:rPr>
            </w:pPr>
            <w:r w:rsidRPr="008855E6">
              <w:rPr>
                <w:b/>
                <w:bCs/>
                <w:sz w:val="28"/>
                <w:szCs w:val="28"/>
              </w:rPr>
              <w:t xml:space="preserve">OFLOG Performance Indicators: Financial Resilience – Lincolnshire District Councils – Metric </w:t>
            </w:r>
            <w:r>
              <w:rPr>
                <w:b/>
                <w:bCs/>
                <w:sz w:val="28"/>
                <w:szCs w:val="28"/>
              </w:rPr>
              <w:t>7: Total debt as percentage of core spending power</w:t>
            </w:r>
          </w:p>
        </w:tc>
      </w:tr>
      <w:tr w:rsidR="00211134" w14:paraId="6EDB83C1" w14:textId="77777777" w:rsidTr="005857FD">
        <w:tc>
          <w:tcPr>
            <w:tcW w:w="20921" w:type="dxa"/>
            <w:gridSpan w:val="10"/>
          </w:tcPr>
          <w:p w14:paraId="296D6F9B" w14:textId="77777777" w:rsidR="00211134" w:rsidRPr="0059661E" w:rsidRDefault="00211134" w:rsidP="00211134">
            <w:pPr>
              <w:rPr>
                <w:b/>
                <w:bCs/>
                <w:sz w:val="24"/>
                <w:szCs w:val="24"/>
              </w:rPr>
            </w:pPr>
            <w:r w:rsidRPr="0059661E">
              <w:rPr>
                <w:b/>
                <w:bCs/>
                <w:sz w:val="24"/>
                <w:szCs w:val="24"/>
              </w:rPr>
              <w:t>All data is for the Financial Year 2022/23. Data for the previous financial year 2021/22 is in brackets. For finance data, national rankings and decile placings are calculated from the pool of English district councils. Counties, unitaries, metropolitans and London borough councils are excluded. Authorities where data is lacking for a specific metric are also excluded. For this metric the total pool is 1</w:t>
            </w:r>
            <w:r>
              <w:rPr>
                <w:b/>
                <w:bCs/>
                <w:sz w:val="24"/>
                <w:szCs w:val="24"/>
              </w:rPr>
              <w:t>73</w:t>
            </w:r>
            <w:r w:rsidRPr="0059661E">
              <w:rPr>
                <w:b/>
                <w:bCs/>
                <w:sz w:val="24"/>
                <w:szCs w:val="24"/>
              </w:rPr>
              <w:t xml:space="preserve"> with 1st being the best performer. </w:t>
            </w:r>
          </w:p>
          <w:p w14:paraId="1846CAB7" w14:textId="1EB98083" w:rsidR="00211134" w:rsidRPr="008855E6" w:rsidRDefault="00211134" w:rsidP="005857FD">
            <w:pPr>
              <w:rPr>
                <w:b/>
                <w:bCs/>
                <w:sz w:val="24"/>
                <w:szCs w:val="24"/>
              </w:rPr>
            </w:pPr>
            <w:r w:rsidRPr="0059661E">
              <w:rPr>
                <w:b/>
                <w:bCs/>
                <w:sz w:val="24"/>
                <w:szCs w:val="24"/>
              </w:rPr>
              <w:t>Decile Key: Decile 9 – in the top 20% of English local authorities, Decile 2 – in the bottom 20% of English local authorities, Deciles 6+ in the top half of English local authorities for given indicator.</w:t>
            </w:r>
          </w:p>
        </w:tc>
      </w:tr>
      <w:tr w:rsidR="00211134" w14:paraId="26EE9920" w14:textId="77777777" w:rsidTr="00EA05B9">
        <w:tc>
          <w:tcPr>
            <w:tcW w:w="1314" w:type="dxa"/>
            <w:tcBorders>
              <w:bottom w:val="single" w:sz="4" w:space="0" w:color="auto"/>
            </w:tcBorders>
          </w:tcPr>
          <w:p w14:paraId="765A6292" w14:textId="77777777" w:rsidR="00211134" w:rsidRPr="008855E6" w:rsidRDefault="00211134" w:rsidP="005857FD">
            <w:pPr>
              <w:rPr>
                <w:b/>
                <w:bCs/>
              </w:rPr>
            </w:pPr>
            <w:r w:rsidRPr="008855E6">
              <w:rPr>
                <w:b/>
                <w:bCs/>
              </w:rPr>
              <w:t>Lincolnshire Ranking</w:t>
            </w:r>
          </w:p>
        </w:tc>
        <w:tc>
          <w:tcPr>
            <w:tcW w:w="1682" w:type="dxa"/>
            <w:tcBorders>
              <w:bottom w:val="single" w:sz="4" w:space="0" w:color="auto"/>
            </w:tcBorders>
          </w:tcPr>
          <w:p w14:paraId="048464C4" w14:textId="77777777" w:rsidR="00211134" w:rsidRPr="008855E6" w:rsidRDefault="00211134" w:rsidP="005857FD">
            <w:pPr>
              <w:rPr>
                <w:b/>
                <w:bCs/>
              </w:rPr>
            </w:pPr>
            <w:r w:rsidRPr="008855E6">
              <w:rPr>
                <w:b/>
                <w:bCs/>
              </w:rPr>
              <w:t>Authority</w:t>
            </w:r>
          </w:p>
        </w:tc>
        <w:tc>
          <w:tcPr>
            <w:tcW w:w="1133" w:type="dxa"/>
            <w:tcBorders>
              <w:bottom w:val="single" w:sz="4" w:space="0" w:color="auto"/>
            </w:tcBorders>
          </w:tcPr>
          <w:p w14:paraId="661A7211" w14:textId="77777777" w:rsidR="00211134" w:rsidRPr="008855E6" w:rsidRDefault="00211134" w:rsidP="005857FD">
            <w:pPr>
              <w:rPr>
                <w:b/>
                <w:bCs/>
              </w:rPr>
            </w:pPr>
            <w:r w:rsidRPr="008855E6">
              <w:rPr>
                <w:b/>
                <w:bCs/>
              </w:rPr>
              <w:t>Value</w:t>
            </w:r>
          </w:p>
        </w:tc>
        <w:tc>
          <w:tcPr>
            <w:tcW w:w="2689" w:type="dxa"/>
            <w:tcBorders>
              <w:bottom w:val="single" w:sz="4" w:space="0" w:color="auto"/>
            </w:tcBorders>
          </w:tcPr>
          <w:p w14:paraId="1F96DF3A" w14:textId="77777777" w:rsidR="00211134" w:rsidRPr="008855E6" w:rsidRDefault="00211134" w:rsidP="005857FD">
            <w:pPr>
              <w:rPr>
                <w:b/>
                <w:bCs/>
              </w:rPr>
            </w:pPr>
            <w:r>
              <w:rPr>
                <w:b/>
                <w:bCs/>
              </w:rPr>
              <w:t>Capital Financing Requirement (March 2022 £ thousands)</w:t>
            </w:r>
          </w:p>
        </w:tc>
        <w:tc>
          <w:tcPr>
            <w:tcW w:w="2391" w:type="dxa"/>
            <w:tcBorders>
              <w:bottom w:val="single" w:sz="4" w:space="0" w:color="auto"/>
            </w:tcBorders>
          </w:tcPr>
          <w:p w14:paraId="79FE80DE" w14:textId="77777777" w:rsidR="00211134" w:rsidRPr="008855E6" w:rsidRDefault="00211134" w:rsidP="005857FD">
            <w:pPr>
              <w:rPr>
                <w:b/>
                <w:bCs/>
              </w:rPr>
            </w:pPr>
            <w:r w:rsidRPr="00600AFC">
              <w:rPr>
                <w:b/>
                <w:bCs/>
              </w:rPr>
              <w:t>Total Core Spending Power (£ millions)</w:t>
            </w:r>
          </w:p>
        </w:tc>
        <w:tc>
          <w:tcPr>
            <w:tcW w:w="1007" w:type="dxa"/>
            <w:tcBorders>
              <w:bottom w:val="single" w:sz="4" w:space="0" w:color="auto"/>
            </w:tcBorders>
          </w:tcPr>
          <w:p w14:paraId="33A2CBD2" w14:textId="77777777" w:rsidR="00211134" w:rsidRPr="008855E6" w:rsidRDefault="00211134" w:rsidP="005857FD">
            <w:pPr>
              <w:rPr>
                <w:b/>
                <w:bCs/>
              </w:rPr>
            </w:pPr>
            <w:r w:rsidRPr="008855E6">
              <w:rPr>
                <w:b/>
                <w:bCs/>
              </w:rPr>
              <w:t>Data Polarity</w:t>
            </w:r>
          </w:p>
        </w:tc>
        <w:tc>
          <w:tcPr>
            <w:tcW w:w="1559" w:type="dxa"/>
            <w:tcBorders>
              <w:bottom w:val="single" w:sz="4" w:space="0" w:color="auto"/>
            </w:tcBorders>
          </w:tcPr>
          <w:p w14:paraId="077204D8" w14:textId="77777777" w:rsidR="00211134" w:rsidRPr="008855E6" w:rsidRDefault="00211134" w:rsidP="005857FD">
            <w:pPr>
              <w:rPr>
                <w:b/>
                <w:bCs/>
              </w:rPr>
            </w:pPr>
            <w:r w:rsidRPr="008855E6">
              <w:rPr>
                <w:b/>
                <w:bCs/>
              </w:rPr>
              <w:t>National Decile Placing</w:t>
            </w:r>
          </w:p>
        </w:tc>
        <w:tc>
          <w:tcPr>
            <w:tcW w:w="1134" w:type="dxa"/>
            <w:tcBorders>
              <w:bottom w:val="single" w:sz="4" w:space="0" w:color="auto"/>
            </w:tcBorders>
          </w:tcPr>
          <w:p w14:paraId="3C3085DF" w14:textId="77777777" w:rsidR="00211134" w:rsidRPr="008855E6" w:rsidRDefault="00211134" w:rsidP="005857FD">
            <w:pPr>
              <w:rPr>
                <w:b/>
                <w:bCs/>
              </w:rPr>
            </w:pPr>
            <w:r w:rsidRPr="008855E6">
              <w:rPr>
                <w:b/>
                <w:bCs/>
              </w:rPr>
              <w:t>National Ranking</w:t>
            </w:r>
          </w:p>
        </w:tc>
        <w:tc>
          <w:tcPr>
            <w:tcW w:w="3104" w:type="dxa"/>
            <w:tcBorders>
              <w:bottom w:val="single" w:sz="4" w:space="0" w:color="auto"/>
            </w:tcBorders>
          </w:tcPr>
          <w:p w14:paraId="2C8C86B7" w14:textId="77777777" w:rsidR="00211134" w:rsidRPr="008855E6" w:rsidRDefault="00211134" w:rsidP="005857FD">
            <w:pPr>
              <w:rPr>
                <w:b/>
                <w:bCs/>
              </w:rPr>
            </w:pPr>
            <w:r>
              <w:rPr>
                <w:b/>
                <w:bCs/>
              </w:rPr>
              <w:t>National &amp; Regional Context</w:t>
            </w:r>
          </w:p>
        </w:tc>
        <w:tc>
          <w:tcPr>
            <w:tcW w:w="4908" w:type="dxa"/>
            <w:tcBorders>
              <w:bottom w:val="single" w:sz="4" w:space="0" w:color="auto"/>
            </w:tcBorders>
          </w:tcPr>
          <w:p w14:paraId="2618F7FE" w14:textId="77777777" w:rsidR="00211134" w:rsidRPr="008855E6" w:rsidRDefault="00211134" w:rsidP="005857FD">
            <w:pPr>
              <w:rPr>
                <w:b/>
                <w:bCs/>
              </w:rPr>
            </w:pPr>
            <w:r w:rsidRPr="008855E6">
              <w:rPr>
                <w:b/>
                <w:bCs/>
              </w:rPr>
              <w:t>Source</w:t>
            </w:r>
            <w:r>
              <w:rPr>
                <w:b/>
                <w:bCs/>
              </w:rPr>
              <w:t xml:space="preserve"> &amp; Explanatory Notes</w:t>
            </w:r>
          </w:p>
        </w:tc>
      </w:tr>
      <w:tr w:rsidR="00EA05B9" w14:paraId="1095D945" w14:textId="77777777" w:rsidTr="00EA05B9">
        <w:tc>
          <w:tcPr>
            <w:tcW w:w="1314" w:type="dxa"/>
            <w:tcBorders>
              <w:top w:val="single" w:sz="4" w:space="0" w:color="auto"/>
              <w:bottom w:val="single" w:sz="4" w:space="0" w:color="auto"/>
              <w:right w:val="single" w:sz="4" w:space="0" w:color="auto"/>
            </w:tcBorders>
          </w:tcPr>
          <w:p w14:paraId="2A752FE7" w14:textId="092A2651" w:rsidR="00EA05B9" w:rsidRDefault="00EA05B9" w:rsidP="00EA05B9">
            <w:r>
              <w:t>1 (1)</w:t>
            </w:r>
          </w:p>
        </w:tc>
        <w:tc>
          <w:tcPr>
            <w:tcW w:w="1682" w:type="dxa"/>
            <w:tcBorders>
              <w:top w:val="single" w:sz="4" w:space="0" w:color="auto"/>
              <w:left w:val="nil"/>
              <w:bottom w:val="single" w:sz="4" w:space="0" w:color="auto"/>
              <w:right w:val="single" w:sz="4" w:space="0" w:color="auto"/>
            </w:tcBorders>
            <w:shd w:val="clear" w:color="auto" w:fill="auto"/>
            <w:vAlign w:val="bottom"/>
          </w:tcPr>
          <w:p w14:paraId="6CBB6B23" w14:textId="5BC6563A" w:rsidR="00EA05B9" w:rsidRPr="00EA05B9" w:rsidRDefault="00EA05B9" w:rsidP="00EA05B9">
            <w:pPr>
              <w:rPr>
                <w:rFonts w:cstheme="minorHAnsi"/>
              </w:rPr>
            </w:pPr>
            <w:r w:rsidRPr="00EA05B9">
              <w:rPr>
                <w:rFonts w:cstheme="minorHAnsi"/>
                <w:color w:val="000000"/>
              </w:rPr>
              <w:t>East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D09FCB9" w14:textId="5816EFB6" w:rsidR="00EA05B9" w:rsidRPr="00EA05B9" w:rsidRDefault="00EA05B9" w:rsidP="00EA05B9">
            <w:pPr>
              <w:rPr>
                <w:rFonts w:cstheme="minorHAnsi"/>
              </w:rPr>
            </w:pPr>
            <w:r w:rsidRPr="00EA05B9">
              <w:rPr>
                <w:rFonts w:cstheme="minorHAnsi"/>
                <w:color w:val="000000"/>
              </w:rPr>
              <w:t>116%</w:t>
            </w:r>
            <w:r w:rsidR="00996D43">
              <w:rPr>
                <w:rFonts w:cstheme="minorHAnsi"/>
                <w:color w:val="000000"/>
              </w:rPr>
              <w:t xml:space="preserve"> (143%)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33312B56" w14:textId="43903632" w:rsidR="00EA05B9" w:rsidRPr="00EA05B9" w:rsidRDefault="00EA05B9" w:rsidP="00EA05B9">
            <w:pPr>
              <w:rPr>
                <w:rFonts w:cstheme="minorHAnsi"/>
              </w:rPr>
            </w:pPr>
            <w:r w:rsidRPr="00EA05B9">
              <w:rPr>
                <w:rFonts w:cstheme="minorHAnsi"/>
                <w:color w:val="000000"/>
              </w:rPr>
              <w:t>20,602</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0584BE7" w14:textId="792455A2" w:rsidR="00EA05B9" w:rsidRPr="00EA05B9" w:rsidRDefault="00EA05B9" w:rsidP="00EA05B9">
            <w:pPr>
              <w:rPr>
                <w:rFonts w:cstheme="minorHAnsi"/>
              </w:rPr>
            </w:pPr>
            <w:r w:rsidRPr="00EA05B9">
              <w:rPr>
                <w:rFonts w:cstheme="minorHAnsi"/>
                <w:color w:val="000000"/>
              </w:rPr>
              <w:t>17.8</w:t>
            </w:r>
          </w:p>
        </w:tc>
        <w:tc>
          <w:tcPr>
            <w:tcW w:w="1007" w:type="dxa"/>
            <w:vMerge w:val="restart"/>
            <w:tcBorders>
              <w:top w:val="single" w:sz="4" w:space="0" w:color="auto"/>
              <w:left w:val="single" w:sz="4" w:space="0" w:color="auto"/>
              <w:bottom w:val="single" w:sz="4" w:space="0" w:color="auto"/>
              <w:right w:val="single" w:sz="4" w:space="0" w:color="auto"/>
            </w:tcBorders>
          </w:tcPr>
          <w:p w14:paraId="56647F3C" w14:textId="77777777" w:rsidR="00EA05B9" w:rsidRPr="00EA05B9" w:rsidRDefault="00EA05B9" w:rsidP="00EA05B9">
            <w:pPr>
              <w:rPr>
                <w:rFonts w:cstheme="minorHAnsi"/>
              </w:rPr>
            </w:pPr>
            <w:r w:rsidRPr="00EA05B9">
              <w:rPr>
                <w:rFonts w:cstheme="minorHAnsi"/>
              </w:rPr>
              <w:t>Lowest to Highest</w:t>
            </w:r>
          </w:p>
        </w:tc>
        <w:tc>
          <w:tcPr>
            <w:tcW w:w="1559" w:type="dxa"/>
            <w:tcBorders>
              <w:top w:val="single" w:sz="4" w:space="0" w:color="auto"/>
              <w:left w:val="single" w:sz="4" w:space="0" w:color="auto"/>
              <w:bottom w:val="single" w:sz="4" w:space="0" w:color="auto"/>
              <w:right w:val="single" w:sz="4" w:space="0" w:color="auto"/>
            </w:tcBorders>
          </w:tcPr>
          <w:p w14:paraId="687201FA" w14:textId="735A94DC" w:rsidR="00EA05B9" w:rsidRPr="00EA05B9" w:rsidRDefault="00EA05B9" w:rsidP="00EA05B9">
            <w:pPr>
              <w:rPr>
                <w:rFonts w:cstheme="minorHAnsi"/>
              </w:rPr>
            </w:pPr>
            <w:r w:rsidRPr="00EA05B9">
              <w:rPr>
                <w:rFonts w:cstheme="minorHAnsi"/>
              </w:rPr>
              <w:t>8</w:t>
            </w:r>
            <w:r w:rsidR="00996D43">
              <w:rPr>
                <w:rFonts w:cstheme="minorHAnsi"/>
              </w:rPr>
              <w:t xml:space="preserve"> (7)</w:t>
            </w:r>
          </w:p>
        </w:tc>
        <w:tc>
          <w:tcPr>
            <w:tcW w:w="1134" w:type="dxa"/>
            <w:tcBorders>
              <w:top w:val="single" w:sz="4" w:space="0" w:color="auto"/>
              <w:left w:val="single" w:sz="4" w:space="0" w:color="auto"/>
              <w:bottom w:val="single" w:sz="4" w:space="0" w:color="auto"/>
              <w:right w:val="nil"/>
            </w:tcBorders>
            <w:shd w:val="clear" w:color="auto" w:fill="auto"/>
            <w:vAlign w:val="bottom"/>
          </w:tcPr>
          <w:p w14:paraId="78C2D299" w14:textId="62693028" w:rsidR="00EA05B9" w:rsidRPr="00EA05B9" w:rsidRDefault="00EA05B9" w:rsidP="00EA05B9">
            <w:pPr>
              <w:rPr>
                <w:rFonts w:cstheme="minorHAnsi"/>
              </w:rPr>
            </w:pPr>
            <w:r w:rsidRPr="00EA05B9">
              <w:rPr>
                <w:rFonts w:cstheme="minorHAnsi"/>
                <w:color w:val="000000"/>
              </w:rPr>
              <w:t>40</w:t>
            </w:r>
          </w:p>
        </w:tc>
        <w:tc>
          <w:tcPr>
            <w:tcW w:w="3104" w:type="dxa"/>
            <w:vMerge w:val="restart"/>
            <w:tcBorders>
              <w:top w:val="single" w:sz="4" w:space="0" w:color="auto"/>
              <w:left w:val="single" w:sz="4" w:space="0" w:color="auto"/>
              <w:bottom w:val="single" w:sz="4" w:space="0" w:color="auto"/>
            </w:tcBorders>
          </w:tcPr>
          <w:p w14:paraId="65161E4F" w14:textId="7F091081" w:rsidR="00EA05B9" w:rsidRDefault="00EA05B9" w:rsidP="00EA05B9">
            <w:r w:rsidRPr="00A543B4">
              <w:t xml:space="preserve">The median for district councils in England was </w:t>
            </w:r>
            <w:r>
              <w:t>4</w:t>
            </w:r>
            <w:r>
              <w:t>44.56</w:t>
            </w:r>
            <w:r w:rsidRPr="00A543B4">
              <w:t xml:space="preserve">%. The median for districts in Lincolnshire was </w:t>
            </w:r>
            <w:r>
              <w:t>686</w:t>
            </w:r>
            <w:r w:rsidRPr="00A543B4">
              <w:t>%.</w:t>
            </w:r>
            <w:r>
              <w:t xml:space="preserve"> The median for authorities in the East Midlands was </w:t>
            </w:r>
            <w:r>
              <w:t>686</w:t>
            </w:r>
            <w:r>
              <w:t>%.</w:t>
            </w:r>
            <w:r>
              <w:t xml:space="preserve"> </w:t>
            </w:r>
            <w:r w:rsidRPr="00EA05B9">
              <w:t xml:space="preserve">The median for SKDC’s CIPFA Peers was </w:t>
            </w:r>
            <w:r>
              <w:t>593%</w:t>
            </w:r>
            <w:r w:rsidRPr="00EA05B9">
              <w:t>.</w:t>
            </w:r>
          </w:p>
        </w:tc>
        <w:tc>
          <w:tcPr>
            <w:tcW w:w="4908" w:type="dxa"/>
            <w:vMerge w:val="restart"/>
            <w:tcBorders>
              <w:top w:val="single" w:sz="4" w:space="0" w:color="auto"/>
            </w:tcBorders>
          </w:tcPr>
          <w:p w14:paraId="1C9597BD" w14:textId="77777777" w:rsidR="00EA05B9" w:rsidRDefault="00EA05B9" w:rsidP="00EA05B9">
            <w:pPr>
              <w:rPr>
                <w:i/>
                <w:iCs/>
              </w:rPr>
            </w:pPr>
            <w:r w:rsidRPr="00EA6955">
              <w:rPr>
                <w:i/>
                <w:iCs/>
              </w:rPr>
              <w:t>DLUHC</w:t>
            </w:r>
            <w:r>
              <w:rPr>
                <w:i/>
                <w:iCs/>
              </w:rPr>
              <w:t>:</w:t>
            </w:r>
            <w:r w:rsidRPr="00EA6955">
              <w:rPr>
                <w:i/>
                <w:iCs/>
              </w:rPr>
              <w:t xml:space="preserve"> </w:t>
            </w:r>
            <w:r w:rsidRPr="00F33102">
              <w:rPr>
                <w:i/>
                <w:iCs/>
              </w:rPr>
              <w:t>Local authority capital expenditure and receipts in England: 2021 to 2022 individual local authority data</w:t>
            </w:r>
            <w:r>
              <w:rPr>
                <w:i/>
                <w:iCs/>
              </w:rPr>
              <w:t xml:space="preserve"> - </w:t>
            </w:r>
            <w:r w:rsidRPr="00F33102">
              <w:rPr>
                <w:i/>
                <w:iCs/>
              </w:rPr>
              <w:t>Capital outturn return (COR C): prudential system information, England, 2021-22</w:t>
            </w:r>
            <w:r>
              <w:rPr>
                <w:i/>
                <w:iCs/>
              </w:rPr>
              <w:t>, Column O).</w:t>
            </w:r>
          </w:p>
          <w:p w14:paraId="31EAFBBD" w14:textId="77777777" w:rsidR="00EA05B9" w:rsidRDefault="00EA05B9" w:rsidP="00EA05B9">
            <w:pPr>
              <w:rPr>
                <w:i/>
                <w:iCs/>
              </w:rPr>
            </w:pPr>
          </w:p>
          <w:p w14:paraId="1EC83F7A" w14:textId="77777777" w:rsidR="00EA05B9" w:rsidRPr="00F33102" w:rsidRDefault="00EA05B9" w:rsidP="00EA05B9">
            <w:r>
              <w:t xml:space="preserve">The </w:t>
            </w:r>
            <w:r w:rsidRPr="00F33102">
              <w:t>Capital Financ</w:t>
            </w:r>
            <w:r>
              <w:t>ing</w:t>
            </w:r>
            <w:r w:rsidRPr="00F33102">
              <w:t xml:space="preserve"> Requirement (CFR) as of 31st March 2022 </w:t>
            </w:r>
            <w:r>
              <w:t xml:space="preserve">is used </w:t>
            </w:r>
            <w:r w:rsidRPr="00F33102">
              <w:t>as the measure of total debt</w:t>
            </w:r>
            <w:r>
              <w:t xml:space="preserve">. </w:t>
            </w:r>
          </w:p>
          <w:p w14:paraId="0337FF8B" w14:textId="77777777" w:rsidR="00EA05B9" w:rsidRPr="00600AFC" w:rsidRDefault="00EA05B9" w:rsidP="00EA05B9">
            <w:pPr>
              <w:jc w:val="both"/>
            </w:pPr>
          </w:p>
          <w:p w14:paraId="16533145" w14:textId="77777777" w:rsidR="00EA05B9" w:rsidRPr="002F2DAC" w:rsidRDefault="00EA05B9" w:rsidP="00EA05B9">
            <w:r w:rsidRPr="00EA6955">
              <w:rPr>
                <w:i/>
                <w:iCs/>
              </w:rPr>
              <w:t xml:space="preserve">Core spending power: final local government finance settlement 2023 to 2024 </w:t>
            </w:r>
          </w:p>
        </w:tc>
      </w:tr>
      <w:tr w:rsidR="00EA05B9" w14:paraId="4DBFBD23" w14:textId="77777777" w:rsidTr="00EA05B9">
        <w:tc>
          <w:tcPr>
            <w:tcW w:w="1314" w:type="dxa"/>
            <w:tcBorders>
              <w:top w:val="single" w:sz="4" w:space="0" w:color="auto"/>
              <w:bottom w:val="single" w:sz="4" w:space="0" w:color="auto"/>
              <w:right w:val="single" w:sz="4" w:space="0" w:color="auto"/>
            </w:tcBorders>
          </w:tcPr>
          <w:p w14:paraId="5FBCF532" w14:textId="6FE136C4" w:rsidR="00EA05B9" w:rsidRDefault="00EA05B9" w:rsidP="00EA05B9">
            <w:r>
              <w:t>2 (2)</w:t>
            </w:r>
          </w:p>
        </w:tc>
        <w:tc>
          <w:tcPr>
            <w:tcW w:w="1682" w:type="dxa"/>
            <w:tcBorders>
              <w:top w:val="single" w:sz="4" w:space="0" w:color="auto"/>
              <w:left w:val="nil"/>
              <w:bottom w:val="single" w:sz="4" w:space="0" w:color="auto"/>
              <w:right w:val="single" w:sz="4" w:space="0" w:color="auto"/>
            </w:tcBorders>
            <w:shd w:val="clear" w:color="auto" w:fill="auto"/>
            <w:vAlign w:val="bottom"/>
          </w:tcPr>
          <w:p w14:paraId="6F1763CA" w14:textId="62E6CAA2" w:rsidR="00EA05B9" w:rsidRPr="00EA05B9" w:rsidRDefault="00EA05B9" w:rsidP="00EA05B9">
            <w:pPr>
              <w:rPr>
                <w:rFonts w:cstheme="minorHAnsi"/>
              </w:rPr>
            </w:pPr>
            <w:r w:rsidRPr="00EA05B9">
              <w:rPr>
                <w:rFonts w:cstheme="minorHAnsi"/>
                <w:color w:val="000000"/>
              </w:rPr>
              <w:t>Boston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F5C3A69" w14:textId="12B35D46" w:rsidR="00EA05B9" w:rsidRPr="00EA05B9" w:rsidRDefault="00EA05B9" w:rsidP="00EA05B9">
            <w:pPr>
              <w:rPr>
                <w:rFonts w:cstheme="minorHAnsi"/>
              </w:rPr>
            </w:pPr>
            <w:r w:rsidRPr="00EA05B9">
              <w:rPr>
                <w:rFonts w:cstheme="minorHAnsi"/>
                <w:color w:val="000000"/>
              </w:rPr>
              <w:t>185%</w:t>
            </w:r>
            <w:r w:rsidR="00996D43">
              <w:rPr>
                <w:rFonts w:cstheme="minorHAnsi"/>
                <w:color w:val="000000"/>
              </w:rPr>
              <w:t xml:space="preserve"> (218%)</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039BC11" w14:textId="0E7BE260" w:rsidR="00EA05B9" w:rsidRPr="00EA05B9" w:rsidRDefault="00EA05B9" w:rsidP="00EA05B9">
            <w:pPr>
              <w:rPr>
                <w:rFonts w:cstheme="minorHAnsi"/>
              </w:rPr>
            </w:pPr>
            <w:r w:rsidRPr="00EA05B9">
              <w:rPr>
                <w:rFonts w:cstheme="minorHAnsi"/>
                <w:color w:val="000000"/>
              </w:rPr>
              <w:t>17,212</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01F09DA3" w14:textId="01F61A0C" w:rsidR="00EA05B9" w:rsidRPr="00EA05B9" w:rsidRDefault="00EA05B9" w:rsidP="00EA05B9">
            <w:pPr>
              <w:rPr>
                <w:rFonts w:cstheme="minorHAnsi"/>
              </w:rPr>
            </w:pPr>
            <w:r w:rsidRPr="00EA05B9">
              <w:rPr>
                <w:rFonts w:cstheme="minorHAnsi"/>
                <w:color w:val="000000"/>
              </w:rPr>
              <w:t>9.3</w:t>
            </w:r>
          </w:p>
        </w:tc>
        <w:tc>
          <w:tcPr>
            <w:tcW w:w="1007" w:type="dxa"/>
            <w:vMerge/>
            <w:tcBorders>
              <w:top w:val="single" w:sz="4" w:space="0" w:color="auto"/>
              <w:left w:val="single" w:sz="4" w:space="0" w:color="auto"/>
              <w:bottom w:val="single" w:sz="4" w:space="0" w:color="auto"/>
              <w:right w:val="single" w:sz="4" w:space="0" w:color="auto"/>
            </w:tcBorders>
          </w:tcPr>
          <w:p w14:paraId="06DC384E"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968C3C2" w14:textId="4ADF1B6B" w:rsidR="00EA05B9" w:rsidRPr="00EA05B9" w:rsidRDefault="00EA05B9" w:rsidP="00EA05B9">
            <w:pPr>
              <w:rPr>
                <w:rFonts w:cstheme="minorHAnsi"/>
              </w:rPr>
            </w:pPr>
            <w:r w:rsidRPr="00EA05B9">
              <w:rPr>
                <w:rFonts w:cstheme="minorHAnsi"/>
              </w:rPr>
              <w:t>7</w:t>
            </w:r>
            <w:r w:rsidR="00996D43">
              <w:rPr>
                <w:rFonts w:cstheme="minorHAnsi"/>
              </w:rPr>
              <w:t xml:space="preserve"> (7)</w:t>
            </w:r>
          </w:p>
        </w:tc>
        <w:tc>
          <w:tcPr>
            <w:tcW w:w="1134" w:type="dxa"/>
            <w:tcBorders>
              <w:top w:val="single" w:sz="4" w:space="0" w:color="auto"/>
              <w:left w:val="single" w:sz="4" w:space="0" w:color="auto"/>
              <w:bottom w:val="single" w:sz="4" w:space="0" w:color="auto"/>
              <w:right w:val="nil"/>
            </w:tcBorders>
            <w:shd w:val="clear" w:color="auto" w:fill="auto"/>
            <w:vAlign w:val="bottom"/>
          </w:tcPr>
          <w:p w14:paraId="532AB585" w14:textId="786949B7" w:rsidR="00EA05B9" w:rsidRPr="00EA05B9" w:rsidRDefault="00EA05B9" w:rsidP="00EA05B9">
            <w:pPr>
              <w:rPr>
                <w:rFonts w:cstheme="minorHAnsi"/>
              </w:rPr>
            </w:pPr>
            <w:r w:rsidRPr="00EA05B9">
              <w:rPr>
                <w:rFonts w:cstheme="minorHAnsi"/>
                <w:color w:val="000000"/>
              </w:rPr>
              <w:t>54</w:t>
            </w:r>
          </w:p>
        </w:tc>
        <w:tc>
          <w:tcPr>
            <w:tcW w:w="3104" w:type="dxa"/>
            <w:vMerge/>
            <w:tcBorders>
              <w:top w:val="single" w:sz="4" w:space="0" w:color="auto"/>
              <w:left w:val="single" w:sz="4" w:space="0" w:color="auto"/>
              <w:bottom w:val="single" w:sz="4" w:space="0" w:color="auto"/>
            </w:tcBorders>
          </w:tcPr>
          <w:p w14:paraId="288287E2" w14:textId="77777777" w:rsidR="00EA05B9" w:rsidRDefault="00EA05B9" w:rsidP="00EA05B9"/>
        </w:tc>
        <w:tc>
          <w:tcPr>
            <w:tcW w:w="4908" w:type="dxa"/>
            <w:vMerge/>
          </w:tcPr>
          <w:p w14:paraId="32A3B767" w14:textId="77777777" w:rsidR="00EA05B9" w:rsidRDefault="00EA05B9" w:rsidP="00EA05B9"/>
        </w:tc>
      </w:tr>
      <w:tr w:rsidR="00EA05B9" w14:paraId="57B808B0" w14:textId="77777777" w:rsidTr="00EA05B9">
        <w:tc>
          <w:tcPr>
            <w:tcW w:w="1314" w:type="dxa"/>
            <w:tcBorders>
              <w:top w:val="single" w:sz="4" w:space="0" w:color="auto"/>
              <w:bottom w:val="single" w:sz="4" w:space="0" w:color="auto"/>
              <w:right w:val="single" w:sz="4" w:space="0" w:color="auto"/>
            </w:tcBorders>
          </w:tcPr>
          <w:p w14:paraId="4FC7D5EF" w14:textId="61ED6D89" w:rsidR="00EA05B9" w:rsidRDefault="00EA05B9" w:rsidP="00EA05B9">
            <w:r>
              <w:t>3 (3)</w:t>
            </w:r>
          </w:p>
        </w:tc>
        <w:tc>
          <w:tcPr>
            <w:tcW w:w="1682" w:type="dxa"/>
            <w:tcBorders>
              <w:top w:val="single" w:sz="4" w:space="0" w:color="auto"/>
              <w:left w:val="nil"/>
              <w:bottom w:val="single" w:sz="4" w:space="0" w:color="auto"/>
              <w:right w:val="single" w:sz="4" w:space="0" w:color="auto"/>
            </w:tcBorders>
            <w:shd w:val="clear" w:color="auto" w:fill="auto"/>
            <w:vAlign w:val="bottom"/>
          </w:tcPr>
          <w:p w14:paraId="40671315" w14:textId="4AF88157" w:rsidR="00EA05B9" w:rsidRPr="00EA05B9" w:rsidRDefault="00EA05B9" w:rsidP="00EA05B9">
            <w:pPr>
              <w:rPr>
                <w:rFonts w:cstheme="minorHAnsi"/>
              </w:rPr>
            </w:pPr>
            <w:r w:rsidRPr="00EA05B9">
              <w:rPr>
                <w:rFonts w:cstheme="minorHAnsi"/>
                <w:color w:val="000000"/>
              </w:rPr>
              <w:t>West Lindsey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D53DDA0" w14:textId="0450E1EF" w:rsidR="00EA05B9" w:rsidRPr="00EA05B9" w:rsidRDefault="00EA05B9" w:rsidP="00EA05B9">
            <w:pPr>
              <w:rPr>
                <w:rFonts w:cstheme="minorHAnsi"/>
              </w:rPr>
            </w:pPr>
            <w:r w:rsidRPr="00EA05B9">
              <w:rPr>
                <w:rFonts w:cstheme="minorHAnsi"/>
                <w:color w:val="000000"/>
              </w:rPr>
              <w:t>319%</w:t>
            </w:r>
            <w:r w:rsidR="00996D43">
              <w:rPr>
                <w:rFonts w:cstheme="minorHAnsi"/>
                <w:color w:val="000000"/>
              </w:rPr>
              <w:t xml:space="preserve"> (328%)</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256A2A87" w14:textId="41A837EB" w:rsidR="00EA05B9" w:rsidRPr="00EA05B9" w:rsidRDefault="00EA05B9" w:rsidP="00EA05B9">
            <w:pPr>
              <w:rPr>
                <w:rFonts w:cstheme="minorHAnsi"/>
              </w:rPr>
            </w:pPr>
            <w:r w:rsidRPr="00EA05B9">
              <w:rPr>
                <w:rFonts w:cstheme="minorHAnsi"/>
                <w:color w:val="000000"/>
              </w:rPr>
              <w:t>39,244</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4EE49FE" w14:textId="5951EAF1" w:rsidR="00EA05B9" w:rsidRPr="00EA05B9" w:rsidRDefault="00EA05B9" w:rsidP="00EA05B9">
            <w:pPr>
              <w:rPr>
                <w:rFonts w:cstheme="minorHAnsi"/>
              </w:rPr>
            </w:pPr>
            <w:r w:rsidRPr="00EA05B9">
              <w:rPr>
                <w:rFonts w:cstheme="minorHAnsi"/>
                <w:color w:val="000000"/>
              </w:rPr>
              <w:t>12.3</w:t>
            </w:r>
          </w:p>
        </w:tc>
        <w:tc>
          <w:tcPr>
            <w:tcW w:w="1007" w:type="dxa"/>
            <w:vMerge/>
            <w:tcBorders>
              <w:top w:val="single" w:sz="4" w:space="0" w:color="auto"/>
              <w:left w:val="single" w:sz="4" w:space="0" w:color="auto"/>
              <w:bottom w:val="single" w:sz="4" w:space="0" w:color="auto"/>
              <w:right w:val="single" w:sz="4" w:space="0" w:color="auto"/>
            </w:tcBorders>
          </w:tcPr>
          <w:p w14:paraId="74998404"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06A7946" w14:textId="4CBFDE4B" w:rsidR="00EA05B9" w:rsidRPr="00EA05B9" w:rsidRDefault="00EA05B9" w:rsidP="00EA05B9">
            <w:pPr>
              <w:rPr>
                <w:rFonts w:cstheme="minorHAnsi"/>
              </w:rPr>
            </w:pPr>
            <w:r w:rsidRPr="00EA05B9">
              <w:rPr>
                <w:rFonts w:cstheme="minorHAnsi"/>
              </w:rPr>
              <w:t>6</w:t>
            </w:r>
            <w:r w:rsidR="00996D43">
              <w:rPr>
                <w:rFonts w:cstheme="minorHAnsi"/>
              </w:rPr>
              <w:t xml:space="preserve"> (6)</w:t>
            </w:r>
          </w:p>
        </w:tc>
        <w:tc>
          <w:tcPr>
            <w:tcW w:w="1134" w:type="dxa"/>
            <w:tcBorders>
              <w:top w:val="single" w:sz="4" w:space="0" w:color="auto"/>
              <w:left w:val="single" w:sz="4" w:space="0" w:color="auto"/>
              <w:bottom w:val="single" w:sz="4" w:space="0" w:color="auto"/>
              <w:right w:val="nil"/>
            </w:tcBorders>
            <w:shd w:val="clear" w:color="auto" w:fill="auto"/>
            <w:vAlign w:val="bottom"/>
          </w:tcPr>
          <w:p w14:paraId="4FBB5AF4" w14:textId="7A3DF3DA" w:rsidR="00EA05B9" w:rsidRPr="00EA05B9" w:rsidRDefault="00EA05B9" w:rsidP="00EA05B9">
            <w:pPr>
              <w:rPr>
                <w:rFonts w:cstheme="minorHAnsi"/>
              </w:rPr>
            </w:pPr>
            <w:r w:rsidRPr="00EA05B9">
              <w:rPr>
                <w:rFonts w:cstheme="minorHAnsi"/>
                <w:color w:val="000000"/>
              </w:rPr>
              <w:t>75</w:t>
            </w:r>
          </w:p>
        </w:tc>
        <w:tc>
          <w:tcPr>
            <w:tcW w:w="3104" w:type="dxa"/>
            <w:vMerge/>
            <w:tcBorders>
              <w:top w:val="single" w:sz="4" w:space="0" w:color="auto"/>
              <w:left w:val="single" w:sz="4" w:space="0" w:color="auto"/>
              <w:bottom w:val="single" w:sz="4" w:space="0" w:color="auto"/>
            </w:tcBorders>
          </w:tcPr>
          <w:p w14:paraId="619D2B63" w14:textId="77777777" w:rsidR="00EA05B9" w:rsidRDefault="00EA05B9" w:rsidP="00EA05B9"/>
        </w:tc>
        <w:tc>
          <w:tcPr>
            <w:tcW w:w="4908" w:type="dxa"/>
            <w:vMerge/>
          </w:tcPr>
          <w:p w14:paraId="6596729E" w14:textId="77777777" w:rsidR="00EA05B9" w:rsidRDefault="00EA05B9" w:rsidP="00EA05B9"/>
        </w:tc>
      </w:tr>
      <w:tr w:rsidR="00EA05B9" w14:paraId="6A35149F" w14:textId="77777777" w:rsidTr="00EA05B9">
        <w:tc>
          <w:tcPr>
            <w:tcW w:w="1314" w:type="dxa"/>
            <w:tcBorders>
              <w:top w:val="single" w:sz="4" w:space="0" w:color="auto"/>
              <w:bottom w:val="single" w:sz="4" w:space="0" w:color="auto"/>
              <w:right w:val="single" w:sz="4" w:space="0" w:color="auto"/>
            </w:tcBorders>
          </w:tcPr>
          <w:p w14:paraId="4A323A5A" w14:textId="0173EBAD" w:rsidR="00EA05B9" w:rsidRDefault="00EA05B9" w:rsidP="00EA05B9">
            <w:r>
              <w:t>4 (4)</w:t>
            </w:r>
          </w:p>
        </w:tc>
        <w:tc>
          <w:tcPr>
            <w:tcW w:w="1682" w:type="dxa"/>
            <w:tcBorders>
              <w:top w:val="single" w:sz="4" w:space="0" w:color="auto"/>
              <w:left w:val="nil"/>
              <w:bottom w:val="single" w:sz="4" w:space="0" w:color="auto"/>
              <w:right w:val="single" w:sz="4" w:space="0" w:color="auto"/>
            </w:tcBorders>
            <w:shd w:val="clear" w:color="auto" w:fill="auto"/>
            <w:vAlign w:val="bottom"/>
          </w:tcPr>
          <w:p w14:paraId="03F5768D" w14:textId="3A86D44D" w:rsidR="00EA05B9" w:rsidRPr="00EA05B9" w:rsidRDefault="00EA05B9" w:rsidP="00EA05B9">
            <w:pPr>
              <w:rPr>
                <w:rFonts w:cstheme="minorHAnsi"/>
              </w:rPr>
            </w:pPr>
            <w:r w:rsidRPr="00EA05B9">
              <w:rPr>
                <w:rFonts w:cstheme="minorHAnsi"/>
                <w:color w:val="000000"/>
              </w:rPr>
              <w:t>South Holland</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AD1A941" w14:textId="355DB833" w:rsidR="00EA05B9" w:rsidRPr="00EA05B9" w:rsidRDefault="00EA05B9" w:rsidP="00EA05B9">
            <w:pPr>
              <w:rPr>
                <w:rFonts w:cstheme="minorHAnsi"/>
              </w:rPr>
            </w:pPr>
            <w:r w:rsidRPr="00EA05B9">
              <w:rPr>
                <w:rFonts w:cstheme="minorHAnsi"/>
                <w:color w:val="000000"/>
              </w:rPr>
              <w:t>686%</w:t>
            </w:r>
            <w:r w:rsidR="00996D43">
              <w:rPr>
                <w:rFonts w:cstheme="minorHAnsi"/>
                <w:color w:val="000000"/>
              </w:rPr>
              <w:t xml:space="preserve"> (667%)</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8571EFE" w14:textId="6D76114E" w:rsidR="00EA05B9" w:rsidRPr="00EA05B9" w:rsidRDefault="00EA05B9" w:rsidP="00EA05B9">
            <w:pPr>
              <w:rPr>
                <w:rFonts w:cstheme="minorHAnsi"/>
              </w:rPr>
            </w:pPr>
            <w:r w:rsidRPr="00EA05B9">
              <w:rPr>
                <w:rFonts w:cstheme="minorHAnsi"/>
                <w:color w:val="000000"/>
              </w:rPr>
              <w:t>79,614</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214CE432" w14:textId="36AEFC51" w:rsidR="00EA05B9" w:rsidRPr="00EA05B9" w:rsidRDefault="00EA05B9" w:rsidP="00EA05B9">
            <w:pPr>
              <w:rPr>
                <w:rFonts w:cstheme="minorHAnsi"/>
              </w:rPr>
            </w:pPr>
            <w:r w:rsidRPr="00EA05B9">
              <w:rPr>
                <w:rFonts w:cstheme="minorHAnsi"/>
                <w:color w:val="000000"/>
              </w:rPr>
              <w:t>11.6</w:t>
            </w:r>
          </w:p>
        </w:tc>
        <w:tc>
          <w:tcPr>
            <w:tcW w:w="1007" w:type="dxa"/>
            <w:vMerge/>
            <w:tcBorders>
              <w:top w:val="single" w:sz="4" w:space="0" w:color="auto"/>
              <w:left w:val="single" w:sz="4" w:space="0" w:color="auto"/>
              <w:bottom w:val="single" w:sz="4" w:space="0" w:color="auto"/>
              <w:right w:val="single" w:sz="4" w:space="0" w:color="auto"/>
            </w:tcBorders>
          </w:tcPr>
          <w:p w14:paraId="1DDB178D"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79233757" w14:textId="38CBFB01" w:rsidR="00EA05B9" w:rsidRPr="00EA05B9" w:rsidRDefault="00EA05B9" w:rsidP="00EA05B9">
            <w:pPr>
              <w:rPr>
                <w:rFonts w:cstheme="minorHAnsi"/>
              </w:rPr>
            </w:pPr>
            <w:r w:rsidRPr="00EA05B9">
              <w:rPr>
                <w:rFonts w:cstheme="minorHAnsi"/>
              </w:rPr>
              <w:t>4</w:t>
            </w:r>
            <w:r w:rsidR="00996D43">
              <w:rPr>
                <w:rFonts w:cstheme="minorHAnsi"/>
              </w:rPr>
              <w:t xml:space="preserve"> (5)</w:t>
            </w:r>
          </w:p>
        </w:tc>
        <w:tc>
          <w:tcPr>
            <w:tcW w:w="1134" w:type="dxa"/>
            <w:tcBorders>
              <w:top w:val="single" w:sz="4" w:space="0" w:color="auto"/>
              <w:left w:val="single" w:sz="4" w:space="0" w:color="auto"/>
              <w:bottom w:val="single" w:sz="4" w:space="0" w:color="auto"/>
              <w:right w:val="nil"/>
            </w:tcBorders>
            <w:shd w:val="clear" w:color="auto" w:fill="auto"/>
            <w:vAlign w:val="bottom"/>
          </w:tcPr>
          <w:p w14:paraId="570EEA82" w14:textId="35C0F47F" w:rsidR="00EA05B9" w:rsidRPr="00EA05B9" w:rsidRDefault="00EA05B9" w:rsidP="00EA05B9">
            <w:pPr>
              <w:rPr>
                <w:rFonts w:cstheme="minorHAnsi"/>
              </w:rPr>
            </w:pPr>
            <w:r w:rsidRPr="00EA05B9">
              <w:rPr>
                <w:rFonts w:cstheme="minorHAnsi"/>
                <w:color w:val="000000"/>
              </w:rPr>
              <w:t>104</w:t>
            </w:r>
          </w:p>
        </w:tc>
        <w:tc>
          <w:tcPr>
            <w:tcW w:w="3104" w:type="dxa"/>
            <w:vMerge/>
            <w:tcBorders>
              <w:top w:val="single" w:sz="4" w:space="0" w:color="auto"/>
              <w:left w:val="single" w:sz="4" w:space="0" w:color="auto"/>
              <w:bottom w:val="single" w:sz="4" w:space="0" w:color="auto"/>
            </w:tcBorders>
          </w:tcPr>
          <w:p w14:paraId="72475843" w14:textId="77777777" w:rsidR="00EA05B9" w:rsidRDefault="00EA05B9" w:rsidP="00EA05B9"/>
        </w:tc>
        <w:tc>
          <w:tcPr>
            <w:tcW w:w="4908" w:type="dxa"/>
            <w:vMerge/>
          </w:tcPr>
          <w:p w14:paraId="3611F6C8" w14:textId="77777777" w:rsidR="00EA05B9" w:rsidRDefault="00EA05B9" w:rsidP="00EA05B9"/>
        </w:tc>
      </w:tr>
      <w:tr w:rsidR="00EA05B9" w14:paraId="475C7272" w14:textId="77777777" w:rsidTr="00EA05B9">
        <w:tc>
          <w:tcPr>
            <w:tcW w:w="1314" w:type="dxa"/>
            <w:tcBorders>
              <w:top w:val="single" w:sz="4" w:space="0" w:color="auto"/>
              <w:bottom w:val="single" w:sz="4" w:space="0" w:color="auto"/>
              <w:right w:val="single" w:sz="4" w:space="0" w:color="auto"/>
            </w:tcBorders>
          </w:tcPr>
          <w:p w14:paraId="1164F9EC" w14:textId="57BCFDA2" w:rsidR="00EA05B9" w:rsidRDefault="00EA05B9" w:rsidP="00EA05B9">
            <w:r>
              <w:t>5 (6)</w:t>
            </w:r>
          </w:p>
        </w:tc>
        <w:tc>
          <w:tcPr>
            <w:tcW w:w="1682" w:type="dxa"/>
            <w:tcBorders>
              <w:top w:val="single" w:sz="4" w:space="0" w:color="auto"/>
              <w:left w:val="nil"/>
              <w:bottom w:val="single" w:sz="4" w:space="0" w:color="auto"/>
              <w:right w:val="single" w:sz="4" w:space="0" w:color="auto"/>
            </w:tcBorders>
            <w:shd w:val="clear" w:color="auto" w:fill="auto"/>
            <w:vAlign w:val="bottom"/>
          </w:tcPr>
          <w:p w14:paraId="69D48442" w14:textId="618B64D0" w:rsidR="00EA05B9" w:rsidRPr="00EA05B9" w:rsidRDefault="00EA05B9" w:rsidP="00EA05B9">
            <w:pPr>
              <w:rPr>
                <w:rFonts w:cstheme="minorHAnsi"/>
              </w:rPr>
            </w:pPr>
            <w:r w:rsidRPr="00EA05B9">
              <w:rPr>
                <w:rFonts w:cstheme="minorHAnsi"/>
                <w:color w:val="000000"/>
              </w:rPr>
              <w:t>South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8E2DAA7" w14:textId="144C661A" w:rsidR="00EA05B9" w:rsidRPr="00EA05B9" w:rsidRDefault="00EA05B9" w:rsidP="00EA05B9">
            <w:pPr>
              <w:rPr>
                <w:rFonts w:cstheme="minorHAnsi"/>
              </w:rPr>
            </w:pPr>
            <w:r w:rsidRPr="00EA05B9">
              <w:rPr>
                <w:rFonts w:cstheme="minorHAnsi"/>
                <w:color w:val="000000"/>
              </w:rPr>
              <w:t>713%</w:t>
            </w:r>
            <w:r w:rsidR="00996D43">
              <w:rPr>
                <w:rFonts w:cstheme="minorHAnsi"/>
                <w:color w:val="000000"/>
              </w:rPr>
              <w:t xml:space="preserve"> (733%)</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51EB0A1D" w14:textId="6582BC7E" w:rsidR="00EA05B9" w:rsidRPr="00EA05B9" w:rsidRDefault="00EA05B9" w:rsidP="00EA05B9">
            <w:pPr>
              <w:rPr>
                <w:rFonts w:cstheme="minorHAnsi"/>
              </w:rPr>
            </w:pPr>
            <w:r w:rsidRPr="00EA05B9">
              <w:rPr>
                <w:rFonts w:cstheme="minorHAnsi"/>
                <w:color w:val="000000"/>
              </w:rPr>
              <w:t>104,145</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40EFE562" w14:textId="721274F5" w:rsidR="00EA05B9" w:rsidRPr="00EA05B9" w:rsidRDefault="00EA05B9" w:rsidP="00EA05B9">
            <w:pPr>
              <w:rPr>
                <w:rFonts w:cstheme="minorHAnsi"/>
              </w:rPr>
            </w:pPr>
            <w:r w:rsidRPr="00EA05B9">
              <w:rPr>
                <w:rFonts w:cstheme="minorHAnsi"/>
                <w:color w:val="000000"/>
              </w:rPr>
              <w:t>14.6</w:t>
            </w:r>
          </w:p>
        </w:tc>
        <w:tc>
          <w:tcPr>
            <w:tcW w:w="1007" w:type="dxa"/>
            <w:vMerge/>
            <w:tcBorders>
              <w:top w:val="single" w:sz="4" w:space="0" w:color="auto"/>
              <w:left w:val="single" w:sz="4" w:space="0" w:color="auto"/>
              <w:bottom w:val="single" w:sz="4" w:space="0" w:color="auto"/>
              <w:right w:val="single" w:sz="4" w:space="0" w:color="auto"/>
            </w:tcBorders>
          </w:tcPr>
          <w:p w14:paraId="4E3FBB30"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7DFD116D" w14:textId="7A67B8FA" w:rsidR="00EA05B9" w:rsidRPr="00EA05B9" w:rsidRDefault="00EA05B9" w:rsidP="00EA05B9">
            <w:pPr>
              <w:rPr>
                <w:rFonts w:cstheme="minorHAnsi"/>
              </w:rPr>
            </w:pPr>
            <w:r w:rsidRPr="00EA05B9">
              <w:rPr>
                <w:rFonts w:cstheme="minorHAnsi"/>
              </w:rPr>
              <w:t>4</w:t>
            </w:r>
            <w:r w:rsidR="00996D43">
              <w:rPr>
                <w:rFonts w:cstheme="minorHAnsi"/>
              </w:rPr>
              <w:t xml:space="preserve"> (5)</w:t>
            </w:r>
          </w:p>
        </w:tc>
        <w:tc>
          <w:tcPr>
            <w:tcW w:w="1134" w:type="dxa"/>
            <w:tcBorders>
              <w:top w:val="single" w:sz="4" w:space="0" w:color="auto"/>
              <w:left w:val="single" w:sz="4" w:space="0" w:color="auto"/>
              <w:bottom w:val="single" w:sz="4" w:space="0" w:color="auto"/>
              <w:right w:val="nil"/>
            </w:tcBorders>
            <w:shd w:val="clear" w:color="auto" w:fill="auto"/>
            <w:vAlign w:val="bottom"/>
          </w:tcPr>
          <w:p w14:paraId="70927F80" w14:textId="4670812E" w:rsidR="00EA05B9" w:rsidRPr="00EA05B9" w:rsidRDefault="00EA05B9" w:rsidP="00EA05B9">
            <w:pPr>
              <w:rPr>
                <w:rFonts w:cstheme="minorHAnsi"/>
              </w:rPr>
            </w:pPr>
            <w:r w:rsidRPr="00EA05B9">
              <w:rPr>
                <w:rFonts w:cstheme="minorHAnsi"/>
                <w:color w:val="000000"/>
              </w:rPr>
              <w:t>106</w:t>
            </w:r>
          </w:p>
        </w:tc>
        <w:tc>
          <w:tcPr>
            <w:tcW w:w="3104" w:type="dxa"/>
            <w:vMerge/>
            <w:tcBorders>
              <w:top w:val="single" w:sz="4" w:space="0" w:color="auto"/>
              <w:left w:val="single" w:sz="4" w:space="0" w:color="auto"/>
              <w:bottom w:val="single" w:sz="4" w:space="0" w:color="auto"/>
            </w:tcBorders>
          </w:tcPr>
          <w:p w14:paraId="3F3249E9" w14:textId="77777777" w:rsidR="00EA05B9" w:rsidRDefault="00EA05B9" w:rsidP="00EA05B9"/>
        </w:tc>
        <w:tc>
          <w:tcPr>
            <w:tcW w:w="4908" w:type="dxa"/>
            <w:vMerge/>
          </w:tcPr>
          <w:p w14:paraId="074A4597" w14:textId="77777777" w:rsidR="00EA05B9" w:rsidRDefault="00EA05B9" w:rsidP="00EA05B9"/>
        </w:tc>
      </w:tr>
      <w:tr w:rsidR="00EA05B9" w14:paraId="3398AE08" w14:textId="77777777" w:rsidTr="00EA05B9">
        <w:tc>
          <w:tcPr>
            <w:tcW w:w="1314" w:type="dxa"/>
            <w:tcBorders>
              <w:top w:val="single" w:sz="4" w:space="0" w:color="auto"/>
              <w:bottom w:val="single" w:sz="4" w:space="0" w:color="auto"/>
              <w:right w:val="single" w:sz="4" w:space="0" w:color="auto"/>
            </w:tcBorders>
          </w:tcPr>
          <w:p w14:paraId="409F48EB" w14:textId="474A52BC" w:rsidR="00EA05B9" w:rsidRDefault="00EA05B9" w:rsidP="00EA05B9">
            <w:r>
              <w:t>6 (5)</w:t>
            </w:r>
          </w:p>
        </w:tc>
        <w:tc>
          <w:tcPr>
            <w:tcW w:w="1682" w:type="dxa"/>
            <w:tcBorders>
              <w:top w:val="single" w:sz="4" w:space="0" w:color="auto"/>
              <w:left w:val="nil"/>
              <w:bottom w:val="single" w:sz="4" w:space="0" w:color="auto"/>
              <w:right w:val="single" w:sz="4" w:space="0" w:color="auto"/>
            </w:tcBorders>
            <w:shd w:val="clear" w:color="auto" w:fill="auto"/>
            <w:vAlign w:val="bottom"/>
          </w:tcPr>
          <w:p w14:paraId="39BD407B" w14:textId="3BA76D68" w:rsidR="00EA05B9" w:rsidRPr="00EA05B9" w:rsidRDefault="00EA05B9" w:rsidP="00EA05B9">
            <w:pPr>
              <w:rPr>
                <w:rFonts w:cstheme="minorHAnsi"/>
              </w:rPr>
            </w:pPr>
            <w:r w:rsidRPr="00EA05B9">
              <w:rPr>
                <w:rFonts w:cstheme="minorHAnsi"/>
                <w:color w:val="000000"/>
              </w:rPr>
              <w:t>North Kesteven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C5F71BF" w14:textId="47CB8DF2" w:rsidR="00EA05B9" w:rsidRPr="00EA05B9" w:rsidRDefault="00EA05B9" w:rsidP="00EA05B9">
            <w:pPr>
              <w:rPr>
                <w:rFonts w:cstheme="minorHAnsi"/>
              </w:rPr>
            </w:pPr>
            <w:r w:rsidRPr="00EA05B9">
              <w:rPr>
                <w:rFonts w:cstheme="minorHAnsi"/>
                <w:color w:val="000000"/>
              </w:rPr>
              <w:t>745%</w:t>
            </w:r>
            <w:r w:rsidR="00996D43">
              <w:rPr>
                <w:rFonts w:cstheme="minorHAnsi"/>
                <w:color w:val="000000"/>
              </w:rPr>
              <w:t xml:space="preserve"> (730%)</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49B75AA" w14:textId="638621FC" w:rsidR="00EA05B9" w:rsidRPr="00EA05B9" w:rsidRDefault="00EA05B9" w:rsidP="00EA05B9">
            <w:pPr>
              <w:rPr>
                <w:rFonts w:cstheme="minorHAnsi"/>
              </w:rPr>
            </w:pPr>
            <w:r w:rsidRPr="00EA05B9">
              <w:rPr>
                <w:rFonts w:cstheme="minorHAnsi"/>
                <w:color w:val="000000"/>
              </w:rPr>
              <w:t>90,864</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3AFDED53" w14:textId="491DCA6C" w:rsidR="00EA05B9" w:rsidRPr="00EA05B9" w:rsidRDefault="00EA05B9" w:rsidP="00EA05B9">
            <w:pPr>
              <w:rPr>
                <w:rFonts w:cstheme="minorHAnsi"/>
              </w:rPr>
            </w:pPr>
            <w:r w:rsidRPr="00EA05B9">
              <w:rPr>
                <w:rFonts w:cstheme="minorHAnsi"/>
                <w:color w:val="000000"/>
              </w:rPr>
              <w:t>12.2</w:t>
            </w:r>
          </w:p>
        </w:tc>
        <w:tc>
          <w:tcPr>
            <w:tcW w:w="1007" w:type="dxa"/>
            <w:vMerge/>
            <w:tcBorders>
              <w:top w:val="single" w:sz="4" w:space="0" w:color="auto"/>
              <w:left w:val="single" w:sz="4" w:space="0" w:color="auto"/>
              <w:bottom w:val="single" w:sz="4" w:space="0" w:color="auto"/>
              <w:right w:val="single" w:sz="4" w:space="0" w:color="auto"/>
            </w:tcBorders>
          </w:tcPr>
          <w:p w14:paraId="3A865894"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F00EDEC" w14:textId="18560632" w:rsidR="00EA05B9" w:rsidRPr="00EA05B9" w:rsidRDefault="00EA05B9" w:rsidP="00EA05B9">
            <w:pPr>
              <w:rPr>
                <w:rFonts w:cstheme="minorHAnsi"/>
              </w:rPr>
            </w:pPr>
            <w:r w:rsidRPr="00EA05B9">
              <w:rPr>
                <w:rFonts w:cstheme="minorHAnsi"/>
              </w:rPr>
              <w:t>4</w:t>
            </w:r>
            <w:r w:rsidR="00996D43">
              <w:rPr>
                <w:rFonts w:cstheme="minorHAnsi"/>
              </w:rPr>
              <w:t xml:space="preserve"> (5)</w:t>
            </w:r>
          </w:p>
        </w:tc>
        <w:tc>
          <w:tcPr>
            <w:tcW w:w="1134" w:type="dxa"/>
            <w:tcBorders>
              <w:top w:val="single" w:sz="4" w:space="0" w:color="auto"/>
              <w:left w:val="single" w:sz="4" w:space="0" w:color="auto"/>
              <w:bottom w:val="single" w:sz="4" w:space="0" w:color="auto"/>
              <w:right w:val="nil"/>
            </w:tcBorders>
            <w:shd w:val="clear" w:color="auto" w:fill="auto"/>
            <w:vAlign w:val="bottom"/>
          </w:tcPr>
          <w:p w14:paraId="71B44D80" w14:textId="6518A1C4" w:rsidR="00EA05B9" w:rsidRPr="00EA05B9" w:rsidRDefault="00EA05B9" w:rsidP="00EA05B9">
            <w:pPr>
              <w:rPr>
                <w:rFonts w:cstheme="minorHAnsi"/>
              </w:rPr>
            </w:pPr>
            <w:r w:rsidRPr="00EA05B9">
              <w:rPr>
                <w:rFonts w:cstheme="minorHAnsi"/>
                <w:color w:val="000000"/>
              </w:rPr>
              <w:t>107</w:t>
            </w:r>
          </w:p>
        </w:tc>
        <w:tc>
          <w:tcPr>
            <w:tcW w:w="3104" w:type="dxa"/>
            <w:vMerge/>
            <w:tcBorders>
              <w:top w:val="single" w:sz="4" w:space="0" w:color="auto"/>
              <w:left w:val="single" w:sz="4" w:space="0" w:color="auto"/>
              <w:bottom w:val="single" w:sz="4" w:space="0" w:color="auto"/>
            </w:tcBorders>
          </w:tcPr>
          <w:p w14:paraId="2D0E0E61" w14:textId="77777777" w:rsidR="00EA05B9" w:rsidRDefault="00EA05B9" w:rsidP="00EA05B9"/>
        </w:tc>
        <w:tc>
          <w:tcPr>
            <w:tcW w:w="4908" w:type="dxa"/>
            <w:vMerge/>
          </w:tcPr>
          <w:p w14:paraId="0F4A61DA" w14:textId="77777777" w:rsidR="00EA05B9" w:rsidRDefault="00EA05B9" w:rsidP="00EA05B9"/>
        </w:tc>
      </w:tr>
      <w:tr w:rsidR="00EA05B9" w14:paraId="748E68E1" w14:textId="77777777" w:rsidTr="00EA05B9">
        <w:tc>
          <w:tcPr>
            <w:tcW w:w="1314" w:type="dxa"/>
            <w:tcBorders>
              <w:top w:val="single" w:sz="4" w:space="0" w:color="auto"/>
              <w:bottom w:val="single" w:sz="4" w:space="0" w:color="auto"/>
              <w:right w:val="single" w:sz="4" w:space="0" w:color="auto"/>
            </w:tcBorders>
          </w:tcPr>
          <w:p w14:paraId="0359277A" w14:textId="20089F62" w:rsidR="00EA05B9" w:rsidRDefault="00EA05B9" w:rsidP="00EA05B9">
            <w:r>
              <w:t>7 (7)</w:t>
            </w:r>
          </w:p>
        </w:tc>
        <w:tc>
          <w:tcPr>
            <w:tcW w:w="1682" w:type="dxa"/>
            <w:tcBorders>
              <w:top w:val="single" w:sz="4" w:space="0" w:color="auto"/>
              <w:left w:val="nil"/>
              <w:bottom w:val="single" w:sz="4" w:space="0" w:color="auto"/>
              <w:right w:val="single" w:sz="4" w:space="0" w:color="auto"/>
            </w:tcBorders>
            <w:shd w:val="clear" w:color="auto" w:fill="auto"/>
            <w:vAlign w:val="bottom"/>
          </w:tcPr>
          <w:p w14:paraId="0E4C1A23" w14:textId="211D1390" w:rsidR="00EA05B9" w:rsidRPr="00EA05B9" w:rsidRDefault="00EA05B9" w:rsidP="00EA05B9">
            <w:pPr>
              <w:rPr>
                <w:rFonts w:cstheme="minorHAnsi"/>
              </w:rPr>
            </w:pPr>
            <w:r w:rsidRPr="00EA05B9">
              <w:rPr>
                <w:rFonts w:cstheme="minorHAnsi"/>
                <w:color w:val="000000"/>
              </w:rPr>
              <w:t>Lincoln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89367A4" w14:textId="073AE91A" w:rsidR="00EA05B9" w:rsidRPr="00EA05B9" w:rsidRDefault="00EA05B9" w:rsidP="00EA05B9">
            <w:pPr>
              <w:rPr>
                <w:rFonts w:cstheme="minorHAnsi"/>
              </w:rPr>
            </w:pPr>
            <w:r w:rsidRPr="00EA05B9">
              <w:rPr>
                <w:rFonts w:cstheme="minorHAnsi"/>
                <w:color w:val="000000"/>
              </w:rPr>
              <w:t>1160%</w:t>
            </w:r>
            <w:r w:rsidR="00996D43">
              <w:rPr>
                <w:rFonts w:cstheme="minorHAnsi"/>
                <w:color w:val="000000"/>
              </w:rPr>
              <w:t xml:space="preserve"> (1134%)</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9FBB785" w14:textId="2BD2B630" w:rsidR="00EA05B9" w:rsidRPr="00EA05B9" w:rsidRDefault="00EA05B9" w:rsidP="00EA05B9">
            <w:pPr>
              <w:rPr>
                <w:rFonts w:cstheme="minorHAnsi"/>
              </w:rPr>
            </w:pPr>
            <w:r w:rsidRPr="00EA05B9">
              <w:rPr>
                <w:rFonts w:cstheme="minorHAnsi"/>
                <w:color w:val="000000"/>
              </w:rPr>
              <w:t>146,103</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bottom"/>
          </w:tcPr>
          <w:p w14:paraId="78BC6B50" w14:textId="16EB6EF9" w:rsidR="00EA05B9" w:rsidRPr="00EA05B9" w:rsidRDefault="00EA05B9" w:rsidP="00EA05B9">
            <w:pPr>
              <w:rPr>
                <w:rFonts w:cstheme="minorHAnsi"/>
              </w:rPr>
            </w:pPr>
            <w:r w:rsidRPr="00EA05B9">
              <w:rPr>
                <w:rFonts w:cstheme="minorHAnsi"/>
                <w:color w:val="000000"/>
              </w:rPr>
              <w:t>12.6</w:t>
            </w:r>
          </w:p>
        </w:tc>
        <w:tc>
          <w:tcPr>
            <w:tcW w:w="1007" w:type="dxa"/>
            <w:vMerge/>
            <w:tcBorders>
              <w:top w:val="single" w:sz="4" w:space="0" w:color="auto"/>
              <w:left w:val="single" w:sz="4" w:space="0" w:color="auto"/>
              <w:bottom w:val="single" w:sz="4" w:space="0" w:color="auto"/>
              <w:right w:val="single" w:sz="4" w:space="0" w:color="auto"/>
            </w:tcBorders>
          </w:tcPr>
          <w:p w14:paraId="6F6DE1E2" w14:textId="77777777" w:rsidR="00EA05B9" w:rsidRPr="00EA05B9" w:rsidRDefault="00EA05B9" w:rsidP="00EA05B9">
            <w:pPr>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657F84D3" w14:textId="46BBDD87" w:rsidR="00EA05B9" w:rsidRPr="00EA05B9" w:rsidRDefault="00EA05B9" w:rsidP="00EA05B9">
            <w:pPr>
              <w:rPr>
                <w:rFonts w:cstheme="minorHAnsi"/>
              </w:rPr>
            </w:pPr>
            <w:r w:rsidRPr="00EA05B9">
              <w:rPr>
                <w:rFonts w:cstheme="minorHAnsi"/>
              </w:rPr>
              <w:t>3</w:t>
            </w:r>
            <w:r w:rsidR="00996D43">
              <w:rPr>
                <w:rFonts w:cstheme="minorHAnsi"/>
              </w:rPr>
              <w:t xml:space="preserve"> (3)</w:t>
            </w:r>
          </w:p>
        </w:tc>
        <w:tc>
          <w:tcPr>
            <w:tcW w:w="1134" w:type="dxa"/>
            <w:tcBorders>
              <w:top w:val="single" w:sz="4" w:space="0" w:color="auto"/>
              <w:left w:val="single" w:sz="4" w:space="0" w:color="auto"/>
              <w:bottom w:val="single" w:sz="4" w:space="0" w:color="auto"/>
              <w:right w:val="nil"/>
            </w:tcBorders>
            <w:shd w:val="clear" w:color="auto" w:fill="auto"/>
            <w:vAlign w:val="bottom"/>
          </w:tcPr>
          <w:p w14:paraId="681777E1" w14:textId="7D02D728" w:rsidR="00EA05B9" w:rsidRPr="00EA05B9" w:rsidRDefault="00EA05B9" w:rsidP="00EA05B9">
            <w:pPr>
              <w:rPr>
                <w:rFonts w:cstheme="minorHAnsi"/>
              </w:rPr>
            </w:pPr>
            <w:r w:rsidRPr="00EA05B9">
              <w:rPr>
                <w:rFonts w:cstheme="minorHAnsi"/>
                <w:color w:val="000000"/>
              </w:rPr>
              <w:t>129</w:t>
            </w:r>
          </w:p>
        </w:tc>
        <w:tc>
          <w:tcPr>
            <w:tcW w:w="3104" w:type="dxa"/>
            <w:vMerge/>
            <w:tcBorders>
              <w:top w:val="single" w:sz="4" w:space="0" w:color="auto"/>
              <w:left w:val="single" w:sz="4" w:space="0" w:color="auto"/>
              <w:bottom w:val="single" w:sz="4" w:space="0" w:color="auto"/>
            </w:tcBorders>
          </w:tcPr>
          <w:p w14:paraId="675EDBC9" w14:textId="77777777" w:rsidR="00EA05B9" w:rsidRDefault="00EA05B9" w:rsidP="00EA05B9"/>
        </w:tc>
        <w:tc>
          <w:tcPr>
            <w:tcW w:w="4908" w:type="dxa"/>
            <w:vMerge/>
            <w:tcBorders>
              <w:bottom w:val="single" w:sz="4" w:space="0" w:color="auto"/>
            </w:tcBorders>
          </w:tcPr>
          <w:p w14:paraId="3D22A12F" w14:textId="77777777" w:rsidR="00EA05B9" w:rsidRDefault="00EA05B9" w:rsidP="00EA05B9"/>
        </w:tc>
      </w:tr>
    </w:tbl>
    <w:p w14:paraId="3A998A37" w14:textId="77777777" w:rsidR="00211134" w:rsidRDefault="00211134"/>
    <w:sectPr w:rsidR="00211134" w:rsidSect="00D83582">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43303" w14:textId="77777777" w:rsidR="00EE7F87" w:rsidRDefault="00EE7F87" w:rsidP="00EE7F87">
      <w:pPr>
        <w:spacing w:after="0" w:line="240" w:lineRule="auto"/>
      </w:pPr>
      <w:r>
        <w:separator/>
      </w:r>
    </w:p>
  </w:endnote>
  <w:endnote w:type="continuationSeparator" w:id="0">
    <w:p w14:paraId="626294D0" w14:textId="77777777" w:rsidR="00EE7F87" w:rsidRDefault="00EE7F87" w:rsidP="00EE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F9E7" w14:textId="77777777" w:rsidR="00EE7F87" w:rsidRDefault="00EE7F87" w:rsidP="00EE7F87">
      <w:pPr>
        <w:spacing w:after="0" w:line="240" w:lineRule="auto"/>
      </w:pPr>
      <w:r>
        <w:separator/>
      </w:r>
    </w:p>
  </w:footnote>
  <w:footnote w:type="continuationSeparator" w:id="0">
    <w:p w14:paraId="0383D26D" w14:textId="77777777" w:rsidR="00EE7F87" w:rsidRDefault="00EE7F87" w:rsidP="00EE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BE4D" w14:textId="6B193D1D" w:rsidR="00EE7F87" w:rsidRDefault="00EE7F87">
    <w:pPr>
      <w:pStyle w:val="Header"/>
    </w:pPr>
    <w:r>
      <w:t>OFLOG Draft Finance Metrics 2022/23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82"/>
    <w:rsid w:val="00093BE7"/>
    <w:rsid w:val="00111F2A"/>
    <w:rsid w:val="00211134"/>
    <w:rsid w:val="002172D0"/>
    <w:rsid w:val="002D1F2D"/>
    <w:rsid w:val="002D35BD"/>
    <w:rsid w:val="0031735B"/>
    <w:rsid w:val="0043753A"/>
    <w:rsid w:val="005459BB"/>
    <w:rsid w:val="0059661E"/>
    <w:rsid w:val="005D7E5C"/>
    <w:rsid w:val="0074628C"/>
    <w:rsid w:val="0088752E"/>
    <w:rsid w:val="00996D43"/>
    <w:rsid w:val="009C618E"/>
    <w:rsid w:val="009F4029"/>
    <w:rsid w:val="00B80EB8"/>
    <w:rsid w:val="00CB64F6"/>
    <w:rsid w:val="00CF273D"/>
    <w:rsid w:val="00D83582"/>
    <w:rsid w:val="00EA05B9"/>
    <w:rsid w:val="00EE7F87"/>
    <w:rsid w:val="00F207E8"/>
    <w:rsid w:val="00FF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E9ED"/>
  <w15:chartTrackingRefBased/>
  <w15:docId w15:val="{71F59D9D-A26D-425D-8915-DFFA4CB9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82"/>
  </w:style>
  <w:style w:type="paragraph" w:styleId="Heading1">
    <w:name w:val="heading 1"/>
    <w:basedOn w:val="Normal"/>
    <w:next w:val="Normal"/>
    <w:link w:val="Heading1Char"/>
    <w:uiPriority w:val="9"/>
    <w:qFormat/>
    <w:rsid w:val="00D83582"/>
    <w:pPr>
      <w:keepNext/>
      <w:keepLines/>
      <w:spacing w:before="360" w:after="80"/>
      <w:outlineLvl w:val="0"/>
    </w:pPr>
    <w:rPr>
      <w:rFonts w:asciiTheme="majorHAnsi" w:eastAsiaTheme="majorEastAsia" w:hAnsiTheme="majorHAnsi" w:cstheme="majorBidi"/>
      <w:color w:val="323237" w:themeColor="accent1" w:themeShade="BF"/>
      <w:sz w:val="40"/>
      <w:szCs w:val="40"/>
    </w:rPr>
  </w:style>
  <w:style w:type="paragraph" w:styleId="Heading2">
    <w:name w:val="heading 2"/>
    <w:basedOn w:val="Normal"/>
    <w:next w:val="Normal"/>
    <w:link w:val="Heading2Char"/>
    <w:uiPriority w:val="9"/>
    <w:semiHidden/>
    <w:unhideWhenUsed/>
    <w:qFormat/>
    <w:rsid w:val="00D83582"/>
    <w:pPr>
      <w:keepNext/>
      <w:keepLines/>
      <w:spacing w:before="160" w:after="80"/>
      <w:outlineLvl w:val="1"/>
    </w:pPr>
    <w:rPr>
      <w:rFonts w:asciiTheme="majorHAnsi" w:eastAsiaTheme="majorEastAsia" w:hAnsiTheme="majorHAnsi" w:cstheme="majorBidi"/>
      <w:color w:val="323237" w:themeColor="accent1" w:themeShade="BF"/>
      <w:sz w:val="32"/>
      <w:szCs w:val="32"/>
    </w:rPr>
  </w:style>
  <w:style w:type="paragraph" w:styleId="Heading3">
    <w:name w:val="heading 3"/>
    <w:basedOn w:val="Normal"/>
    <w:next w:val="Normal"/>
    <w:link w:val="Heading3Char"/>
    <w:uiPriority w:val="9"/>
    <w:semiHidden/>
    <w:unhideWhenUsed/>
    <w:qFormat/>
    <w:rsid w:val="00D83582"/>
    <w:pPr>
      <w:keepNext/>
      <w:keepLines/>
      <w:spacing w:before="160" w:after="80"/>
      <w:outlineLvl w:val="2"/>
    </w:pPr>
    <w:rPr>
      <w:rFonts w:eastAsiaTheme="majorEastAsia" w:cstheme="majorBidi"/>
      <w:color w:val="323237" w:themeColor="accent1" w:themeShade="BF"/>
      <w:sz w:val="28"/>
      <w:szCs w:val="28"/>
    </w:rPr>
  </w:style>
  <w:style w:type="paragraph" w:styleId="Heading4">
    <w:name w:val="heading 4"/>
    <w:basedOn w:val="Normal"/>
    <w:next w:val="Normal"/>
    <w:link w:val="Heading4Char"/>
    <w:uiPriority w:val="9"/>
    <w:semiHidden/>
    <w:unhideWhenUsed/>
    <w:qFormat/>
    <w:rsid w:val="00D83582"/>
    <w:pPr>
      <w:keepNext/>
      <w:keepLines/>
      <w:spacing w:before="80" w:after="40"/>
      <w:outlineLvl w:val="3"/>
    </w:pPr>
    <w:rPr>
      <w:rFonts w:eastAsiaTheme="majorEastAsia" w:cstheme="majorBidi"/>
      <w:i/>
      <w:iCs/>
      <w:color w:val="323237" w:themeColor="accent1" w:themeShade="BF"/>
    </w:rPr>
  </w:style>
  <w:style w:type="paragraph" w:styleId="Heading5">
    <w:name w:val="heading 5"/>
    <w:basedOn w:val="Normal"/>
    <w:next w:val="Normal"/>
    <w:link w:val="Heading5Char"/>
    <w:uiPriority w:val="9"/>
    <w:semiHidden/>
    <w:unhideWhenUsed/>
    <w:qFormat/>
    <w:rsid w:val="00D83582"/>
    <w:pPr>
      <w:keepNext/>
      <w:keepLines/>
      <w:spacing w:before="80" w:after="40"/>
      <w:outlineLvl w:val="4"/>
    </w:pPr>
    <w:rPr>
      <w:rFonts w:eastAsiaTheme="majorEastAsia" w:cstheme="majorBidi"/>
      <w:color w:val="323237" w:themeColor="accent1" w:themeShade="BF"/>
    </w:rPr>
  </w:style>
  <w:style w:type="paragraph" w:styleId="Heading6">
    <w:name w:val="heading 6"/>
    <w:basedOn w:val="Normal"/>
    <w:next w:val="Normal"/>
    <w:link w:val="Heading6Char"/>
    <w:uiPriority w:val="9"/>
    <w:semiHidden/>
    <w:unhideWhenUsed/>
    <w:qFormat/>
    <w:rsid w:val="00D83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82"/>
    <w:rPr>
      <w:rFonts w:asciiTheme="majorHAnsi" w:eastAsiaTheme="majorEastAsia" w:hAnsiTheme="majorHAnsi" w:cstheme="majorBidi"/>
      <w:color w:val="323237" w:themeColor="accent1" w:themeShade="BF"/>
      <w:sz w:val="40"/>
      <w:szCs w:val="40"/>
    </w:rPr>
  </w:style>
  <w:style w:type="character" w:customStyle="1" w:styleId="Heading2Char">
    <w:name w:val="Heading 2 Char"/>
    <w:basedOn w:val="DefaultParagraphFont"/>
    <w:link w:val="Heading2"/>
    <w:uiPriority w:val="9"/>
    <w:semiHidden/>
    <w:rsid w:val="00D83582"/>
    <w:rPr>
      <w:rFonts w:asciiTheme="majorHAnsi" w:eastAsiaTheme="majorEastAsia" w:hAnsiTheme="majorHAnsi" w:cstheme="majorBidi"/>
      <w:color w:val="323237" w:themeColor="accent1" w:themeShade="BF"/>
      <w:sz w:val="32"/>
      <w:szCs w:val="32"/>
    </w:rPr>
  </w:style>
  <w:style w:type="character" w:customStyle="1" w:styleId="Heading3Char">
    <w:name w:val="Heading 3 Char"/>
    <w:basedOn w:val="DefaultParagraphFont"/>
    <w:link w:val="Heading3"/>
    <w:uiPriority w:val="9"/>
    <w:semiHidden/>
    <w:rsid w:val="00D83582"/>
    <w:rPr>
      <w:rFonts w:eastAsiaTheme="majorEastAsia" w:cstheme="majorBidi"/>
      <w:color w:val="323237" w:themeColor="accent1" w:themeShade="BF"/>
      <w:sz w:val="28"/>
      <w:szCs w:val="28"/>
    </w:rPr>
  </w:style>
  <w:style w:type="character" w:customStyle="1" w:styleId="Heading4Char">
    <w:name w:val="Heading 4 Char"/>
    <w:basedOn w:val="DefaultParagraphFont"/>
    <w:link w:val="Heading4"/>
    <w:uiPriority w:val="9"/>
    <w:semiHidden/>
    <w:rsid w:val="00D83582"/>
    <w:rPr>
      <w:rFonts w:eastAsiaTheme="majorEastAsia" w:cstheme="majorBidi"/>
      <w:i/>
      <w:iCs/>
      <w:color w:val="323237" w:themeColor="accent1" w:themeShade="BF"/>
    </w:rPr>
  </w:style>
  <w:style w:type="character" w:customStyle="1" w:styleId="Heading5Char">
    <w:name w:val="Heading 5 Char"/>
    <w:basedOn w:val="DefaultParagraphFont"/>
    <w:link w:val="Heading5"/>
    <w:uiPriority w:val="9"/>
    <w:semiHidden/>
    <w:rsid w:val="00D83582"/>
    <w:rPr>
      <w:rFonts w:eastAsiaTheme="majorEastAsia" w:cstheme="majorBidi"/>
      <w:color w:val="323237" w:themeColor="accent1" w:themeShade="BF"/>
    </w:rPr>
  </w:style>
  <w:style w:type="character" w:customStyle="1" w:styleId="Heading6Char">
    <w:name w:val="Heading 6 Char"/>
    <w:basedOn w:val="DefaultParagraphFont"/>
    <w:link w:val="Heading6"/>
    <w:uiPriority w:val="9"/>
    <w:semiHidden/>
    <w:rsid w:val="00D83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582"/>
    <w:rPr>
      <w:rFonts w:eastAsiaTheme="majorEastAsia" w:cstheme="majorBidi"/>
      <w:color w:val="272727" w:themeColor="text1" w:themeTint="D8"/>
    </w:rPr>
  </w:style>
  <w:style w:type="paragraph" w:styleId="Title">
    <w:name w:val="Title"/>
    <w:basedOn w:val="Normal"/>
    <w:next w:val="Normal"/>
    <w:link w:val="TitleChar"/>
    <w:uiPriority w:val="10"/>
    <w:qFormat/>
    <w:rsid w:val="00D83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582"/>
    <w:pPr>
      <w:spacing w:before="160"/>
      <w:jc w:val="center"/>
    </w:pPr>
    <w:rPr>
      <w:i/>
      <w:iCs/>
      <w:color w:val="404040" w:themeColor="text1" w:themeTint="BF"/>
    </w:rPr>
  </w:style>
  <w:style w:type="character" w:customStyle="1" w:styleId="QuoteChar">
    <w:name w:val="Quote Char"/>
    <w:basedOn w:val="DefaultParagraphFont"/>
    <w:link w:val="Quote"/>
    <w:uiPriority w:val="29"/>
    <w:rsid w:val="00D83582"/>
    <w:rPr>
      <w:i/>
      <w:iCs/>
      <w:color w:val="404040" w:themeColor="text1" w:themeTint="BF"/>
    </w:rPr>
  </w:style>
  <w:style w:type="paragraph" w:styleId="ListParagraph">
    <w:name w:val="List Paragraph"/>
    <w:basedOn w:val="Normal"/>
    <w:uiPriority w:val="34"/>
    <w:qFormat/>
    <w:rsid w:val="00D83582"/>
    <w:pPr>
      <w:ind w:left="720"/>
      <w:contextualSpacing/>
    </w:pPr>
  </w:style>
  <w:style w:type="character" w:styleId="IntenseEmphasis">
    <w:name w:val="Intense Emphasis"/>
    <w:basedOn w:val="DefaultParagraphFont"/>
    <w:uiPriority w:val="21"/>
    <w:qFormat/>
    <w:rsid w:val="00D83582"/>
    <w:rPr>
      <w:i/>
      <w:iCs/>
      <w:color w:val="323237" w:themeColor="accent1" w:themeShade="BF"/>
    </w:rPr>
  </w:style>
  <w:style w:type="paragraph" w:styleId="IntenseQuote">
    <w:name w:val="Intense Quote"/>
    <w:basedOn w:val="Normal"/>
    <w:next w:val="Normal"/>
    <w:link w:val="IntenseQuoteChar"/>
    <w:uiPriority w:val="30"/>
    <w:qFormat/>
    <w:rsid w:val="00D83582"/>
    <w:pPr>
      <w:pBdr>
        <w:top w:val="single" w:sz="4" w:space="10" w:color="323237" w:themeColor="accent1" w:themeShade="BF"/>
        <w:bottom w:val="single" w:sz="4" w:space="10" w:color="323237" w:themeColor="accent1" w:themeShade="BF"/>
      </w:pBdr>
      <w:spacing w:before="360" w:after="360"/>
      <w:ind w:left="864" w:right="864"/>
      <w:jc w:val="center"/>
    </w:pPr>
    <w:rPr>
      <w:i/>
      <w:iCs/>
      <w:color w:val="323237" w:themeColor="accent1" w:themeShade="BF"/>
    </w:rPr>
  </w:style>
  <w:style w:type="character" w:customStyle="1" w:styleId="IntenseQuoteChar">
    <w:name w:val="Intense Quote Char"/>
    <w:basedOn w:val="DefaultParagraphFont"/>
    <w:link w:val="IntenseQuote"/>
    <w:uiPriority w:val="30"/>
    <w:rsid w:val="00D83582"/>
    <w:rPr>
      <w:i/>
      <w:iCs/>
      <w:color w:val="323237" w:themeColor="accent1" w:themeShade="BF"/>
    </w:rPr>
  </w:style>
  <w:style w:type="character" w:styleId="IntenseReference">
    <w:name w:val="Intense Reference"/>
    <w:basedOn w:val="DefaultParagraphFont"/>
    <w:uiPriority w:val="32"/>
    <w:qFormat/>
    <w:rsid w:val="00D83582"/>
    <w:rPr>
      <w:b/>
      <w:bCs/>
      <w:smallCaps/>
      <w:color w:val="323237" w:themeColor="accent1" w:themeShade="BF"/>
      <w:spacing w:val="5"/>
    </w:rPr>
  </w:style>
  <w:style w:type="table" w:styleId="TableGrid">
    <w:name w:val="Table Grid"/>
    <w:basedOn w:val="TableNormal"/>
    <w:uiPriority w:val="39"/>
    <w:rsid w:val="00D8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F87"/>
  </w:style>
  <w:style w:type="paragraph" w:styleId="Footer">
    <w:name w:val="footer"/>
    <w:basedOn w:val="Normal"/>
    <w:link w:val="FooterChar"/>
    <w:uiPriority w:val="99"/>
    <w:unhideWhenUsed/>
    <w:rsid w:val="00EE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SOTD Theme">
  <a:themeElements>
    <a:clrScheme name="SKDC Corporate Colours">
      <a:dk1>
        <a:sysClr val="windowText" lastClr="000000"/>
      </a:dk1>
      <a:lt1>
        <a:sysClr val="window" lastClr="FFFFFF"/>
      </a:lt1>
      <a:dk2>
        <a:srgbClr val="44546A"/>
      </a:dk2>
      <a:lt2>
        <a:srgbClr val="E7E6E6"/>
      </a:lt2>
      <a:accent1>
        <a:srgbClr val="43444A"/>
      </a:accent1>
      <a:accent2>
        <a:srgbClr val="E30613"/>
      </a:accent2>
      <a:accent3>
        <a:srgbClr val="FFCF1C"/>
      </a:accent3>
      <a:accent4>
        <a:srgbClr val="07A37A"/>
      </a:accent4>
      <a:accent5>
        <a:srgbClr val="056689"/>
      </a:accent5>
      <a:accent6>
        <a:srgbClr val="0080C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James</dc:creator>
  <cp:keywords/>
  <dc:description/>
  <cp:lastModifiedBy>Charles James</cp:lastModifiedBy>
  <cp:revision>1</cp:revision>
  <dcterms:created xsi:type="dcterms:W3CDTF">2024-07-03T08:15:00Z</dcterms:created>
  <dcterms:modified xsi:type="dcterms:W3CDTF">2024-07-03T12:52:00Z</dcterms:modified>
</cp:coreProperties>
</file>